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064" w:rsidRDefault="00CA6BF1">
      <w:pPr>
        <w:adjustRightInd w:val="0"/>
        <w:snapToGrid w:val="0"/>
        <w:jc w:val="center"/>
        <w:rPr>
          <w:rFonts w:ascii="方正小标宋简体" w:eastAsia="方正小标宋简体" w:hAnsi="Times New Roman"/>
          <w:sz w:val="32"/>
          <w:szCs w:val="32"/>
        </w:rPr>
      </w:pPr>
      <w:r>
        <w:rPr>
          <w:rFonts w:ascii="方正小标宋简体" w:eastAsia="方正小标宋简体" w:hAnsi="Times New Roman" w:hint="eastAsia"/>
          <w:sz w:val="32"/>
          <w:szCs w:val="32"/>
        </w:rPr>
        <w:t>台州职业技术学院</w:t>
      </w:r>
    </w:p>
    <w:p w:rsidR="005C7064" w:rsidRDefault="00CA6BF1">
      <w:pPr>
        <w:adjustRightInd w:val="0"/>
        <w:snapToGrid w:val="0"/>
        <w:jc w:val="center"/>
        <w:outlineLvl w:val="0"/>
        <w:rPr>
          <w:rFonts w:ascii="方正小标宋简体" w:eastAsia="方正小标宋简体" w:hAnsi="Times New Roman"/>
          <w:sz w:val="32"/>
          <w:szCs w:val="32"/>
        </w:rPr>
      </w:pPr>
      <w:bookmarkStart w:id="0" w:name="_Toc86140212"/>
      <w:r>
        <w:rPr>
          <w:rFonts w:ascii="方正小标宋简体" w:eastAsia="方正小标宋简体" w:hAnsi="Times New Roman" w:hint="eastAsia"/>
          <w:sz w:val="32"/>
          <w:szCs w:val="32"/>
        </w:rPr>
        <w:t>工商企业管理专业人才培养方案</w:t>
      </w:r>
      <w:bookmarkEnd w:id="0"/>
    </w:p>
    <w:p w:rsidR="005C7064" w:rsidRDefault="00CA6BF1">
      <w:pPr>
        <w:adjustRightInd w:val="0"/>
        <w:snapToGrid w:val="0"/>
        <w:jc w:val="right"/>
        <w:rPr>
          <w:rFonts w:ascii="仿宋_GB2312" w:eastAsia="仿宋_GB2312"/>
          <w:sz w:val="24"/>
          <w:szCs w:val="24"/>
        </w:rPr>
      </w:pPr>
      <w:r>
        <w:rPr>
          <w:rFonts w:ascii="仿宋_GB2312" w:eastAsia="仿宋_GB2312" w:hint="eastAsia"/>
          <w:sz w:val="24"/>
          <w:szCs w:val="24"/>
        </w:rPr>
        <w:t>（</w:t>
      </w:r>
      <w:r>
        <w:rPr>
          <w:rFonts w:ascii="仿宋_GB2312" w:eastAsia="仿宋_GB2312" w:hint="eastAsia"/>
          <w:sz w:val="24"/>
          <w:szCs w:val="24"/>
        </w:rPr>
        <w:t>20</w:t>
      </w:r>
      <w:r>
        <w:rPr>
          <w:rFonts w:ascii="仿宋_GB2312" w:eastAsia="仿宋_GB2312"/>
          <w:sz w:val="24"/>
          <w:szCs w:val="24"/>
        </w:rPr>
        <w:t>2</w:t>
      </w:r>
      <w:r>
        <w:rPr>
          <w:rFonts w:ascii="仿宋_GB2312" w:eastAsia="仿宋_GB2312" w:hint="eastAsia"/>
          <w:sz w:val="24"/>
          <w:szCs w:val="24"/>
        </w:rPr>
        <w:t>1</w:t>
      </w:r>
      <w:r>
        <w:rPr>
          <w:rFonts w:ascii="仿宋_GB2312" w:eastAsia="仿宋_GB2312" w:hint="eastAsia"/>
          <w:sz w:val="24"/>
          <w:szCs w:val="24"/>
        </w:rPr>
        <w:t>）</w:t>
      </w:r>
      <w:r>
        <w:rPr>
          <w:rFonts w:ascii="仿宋_GB2312" w:eastAsia="仿宋_GB2312" w:hint="eastAsia"/>
          <w:sz w:val="24"/>
          <w:szCs w:val="24"/>
          <w:u w:val="single"/>
        </w:rPr>
        <w:t xml:space="preserve"> 530601 </w:t>
      </w:r>
    </w:p>
    <w:p w:rsidR="005C7064" w:rsidRDefault="005C7064">
      <w:pPr>
        <w:adjustRightInd w:val="0"/>
        <w:snapToGrid w:val="0"/>
        <w:ind w:firstLineChars="200" w:firstLine="480"/>
        <w:jc w:val="left"/>
        <w:rPr>
          <w:rFonts w:ascii="黑体" w:eastAsia="黑体" w:hAnsi="黑体"/>
          <w:sz w:val="24"/>
          <w:szCs w:val="24"/>
        </w:rPr>
      </w:pPr>
    </w:p>
    <w:p w:rsidR="005C7064" w:rsidRDefault="005C7064">
      <w:pPr>
        <w:adjustRightInd w:val="0"/>
        <w:snapToGrid w:val="0"/>
        <w:ind w:firstLineChars="200" w:firstLine="480"/>
        <w:jc w:val="left"/>
        <w:rPr>
          <w:rFonts w:ascii="黑体" w:eastAsia="黑体" w:hAnsi="黑体"/>
          <w:sz w:val="24"/>
          <w:szCs w:val="24"/>
        </w:rPr>
      </w:pPr>
    </w:p>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一、专业名称及专业群</w:t>
      </w:r>
    </w:p>
    <w:p w:rsidR="005C7064" w:rsidRDefault="00CA6BF1">
      <w:pPr>
        <w:adjustRightInd w:val="0"/>
        <w:snapToGrid w:val="0"/>
        <w:ind w:firstLineChars="200" w:firstLine="480"/>
        <w:jc w:val="left"/>
        <w:rPr>
          <w:rFonts w:ascii="仿宋_GB2312" w:eastAsia="仿宋_GB2312"/>
          <w:color w:val="FF0000"/>
          <w:sz w:val="24"/>
          <w:szCs w:val="24"/>
        </w:rPr>
      </w:pPr>
      <w:r>
        <w:rPr>
          <w:rFonts w:ascii="仿宋_GB2312" w:eastAsia="仿宋_GB2312" w:hint="eastAsia"/>
          <w:sz w:val="24"/>
          <w:szCs w:val="24"/>
        </w:rPr>
        <w:t>专业名称：工商企业管理</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专</w:t>
      </w:r>
      <w:r>
        <w:rPr>
          <w:rFonts w:ascii="仿宋_GB2312" w:eastAsia="仿宋_GB2312" w:hint="eastAsia"/>
          <w:sz w:val="24"/>
          <w:szCs w:val="24"/>
        </w:rPr>
        <w:t xml:space="preserve"> </w:t>
      </w:r>
      <w:r>
        <w:rPr>
          <w:rFonts w:ascii="仿宋_GB2312" w:eastAsia="仿宋_GB2312" w:hint="eastAsia"/>
          <w:sz w:val="24"/>
          <w:szCs w:val="24"/>
        </w:rPr>
        <w:t>业</w:t>
      </w:r>
      <w:r>
        <w:rPr>
          <w:rFonts w:ascii="仿宋_GB2312" w:eastAsia="仿宋_GB2312" w:hint="eastAsia"/>
          <w:sz w:val="24"/>
          <w:szCs w:val="24"/>
        </w:rPr>
        <w:t xml:space="preserve"> </w:t>
      </w:r>
      <w:r>
        <w:rPr>
          <w:rFonts w:ascii="仿宋_GB2312" w:eastAsia="仿宋_GB2312" w:hint="eastAsia"/>
          <w:sz w:val="24"/>
          <w:szCs w:val="24"/>
        </w:rPr>
        <w:t>群：财经</w:t>
      </w:r>
    </w:p>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二、教育类型及学历层次</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教育类型：高等职业教育</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学历层次：专科</w:t>
      </w:r>
    </w:p>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三、招生对象及学制</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招生对象：普通高中毕业生</w:t>
      </w:r>
    </w:p>
    <w:p w:rsidR="005C7064" w:rsidRDefault="00CA6BF1">
      <w:pPr>
        <w:adjustRightInd w:val="0"/>
        <w:snapToGrid w:val="0"/>
        <w:ind w:firstLineChars="200" w:firstLine="480"/>
        <w:jc w:val="left"/>
        <w:rPr>
          <w:rFonts w:ascii="仿宋_GB2312" w:eastAsia="仿宋_GB2312"/>
          <w:sz w:val="24"/>
          <w:szCs w:val="24"/>
        </w:rPr>
      </w:pPr>
      <w:proofErr w:type="gramStart"/>
      <w:r>
        <w:rPr>
          <w:rFonts w:ascii="仿宋_GB2312" w:eastAsia="仿宋_GB2312" w:hint="eastAsia"/>
          <w:sz w:val="24"/>
          <w:szCs w:val="24"/>
        </w:rPr>
        <w:t xml:space="preserve">学　　</w:t>
      </w:r>
      <w:proofErr w:type="gramEnd"/>
      <w:r>
        <w:rPr>
          <w:rFonts w:ascii="仿宋_GB2312" w:eastAsia="仿宋_GB2312" w:hint="eastAsia"/>
          <w:sz w:val="24"/>
          <w:szCs w:val="24"/>
        </w:rPr>
        <w:t>制：基本学制三年，学习年限</w:t>
      </w:r>
      <w:r>
        <w:rPr>
          <w:rFonts w:ascii="仿宋_GB2312" w:eastAsia="仿宋_GB2312" w:hint="eastAsia"/>
          <w:sz w:val="24"/>
          <w:szCs w:val="24"/>
        </w:rPr>
        <w:t>3-6</w:t>
      </w:r>
      <w:r>
        <w:rPr>
          <w:rFonts w:ascii="仿宋_GB2312" w:eastAsia="仿宋_GB2312" w:hint="eastAsia"/>
          <w:sz w:val="24"/>
          <w:szCs w:val="24"/>
        </w:rPr>
        <w:t>年，学分制</w:t>
      </w:r>
    </w:p>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四、职业岗位</w:t>
      </w:r>
    </w:p>
    <w:p w:rsidR="005C7064" w:rsidRDefault="00CA6BF1">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（一）职业领域</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根据工商企业管理岗位需求，考虑到地域环境和特色以及高职学生的特点，确定本专业的职业领域如下表。</w:t>
      </w:r>
    </w:p>
    <w:p w:rsidR="005C7064" w:rsidRDefault="00CA6BF1">
      <w:pPr>
        <w:adjustRightInd w:val="0"/>
        <w:snapToGrid w:val="0"/>
        <w:ind w:firstLineChars="200" w:firstLine="480"/>
        <w:jc w:val="center"/>
        <w:rPr>
          <w:rFonts w:ascii="仿宋_GB2312" w:eastAsia="仿宋_GB2312"/>
          <w:sz w:val="24"/>
          <w:szCs w:val="24"/>
        </w:rPr>
      </w:pPr>
      <w:r>
        <w:rPr>
          <w:rFonts w:ascii="仿宋_GB2312" w:eastAsia="仿宋_GB2312" w:hint="eastAsia"/>
          <w:sz w:val="24"/>
          <w:szCs w:val="24"/>
        </w:rPr>
        <w:t>表</w:t>
      </w:r>
      <w:r>
        <w:rPr>
          <w:rFonts w:ascii="仿宋_GB2312" w:eastAsia="仿宋_GB2312" w:hint="eastAsia"/>
          <w:sz w:val="24"/>
          <w:szCs w:val="24"/>
        </w:rPr>
        <w:t xml:space="preserve">1  </w:t>
      </w:r>
      <w:r>
        <w:rPr>
          <w:rFonts w:ascii="仿宋_GB2312" w:eastAsia="仿宋_GB2312" w:hint="eastAsia"/>
          <w:sz w:val="24"/>
          <w:szCs w:val="24"/>
        </w:rPr>
        <w:t>专业职业类别、名称代码表</w:t>
      </w:r>
    </w:p>
    <w:tbl>
      <w:tblPr>
        <w:tblW w:w="8825" w:type="dxa"/>
        <w:jc w:val="center"/>
        <w:tblLayout w:type="fixed"/>
        <w:tblCellMar>
          <w:top w:w="45" w:type="dxa"/>
          <w:left w:w="45" w:type="dxa"/>
          <w:bottom w:w="45" w:type="dxa"/>
          <w:right w:w="45" w:type="dxa"/>
        </w:tblCellMar>
        <w:tblLook w:val="04A0" w:firstRow="1" w:lastRow="0" w:firstColumn="1" w:lastColumn="0" w:noHBand="0" w:noVBand="1"/>
      </w:tblPr>
      <w:tblGrid>
        <w:gridCol w:w="703"/>
        <w:gridCol w:w="3446"/>
        <w:gridCol w:w="2636"/>
        <w:gridCol w:w="2040"/>
      </w:tblGrid>
      <w:tr w:rsidR="005C7064">
        <w:trPr>
          <w:trHeight w:val="510"/>
          <w:jc w:val="center"/>
        </w:trPr>
        <w:tc>
          <w:tcPr>
            <w:tcW w:w="703"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sz w:val="24"/>
                <w:szCs w:val="24"/>
              </w:rPr>
            </w:pPr>
            <w:r>
              <w:rPr>
                <w:rFonts w:ascii="仿宋_GB2312" w:eastAsia="仿宋_GB2312" w:hAnsi="仿宋" w:cs="宋体" w:hint="eastAsia"/>
                <w:sz w:val="24"/>
                <w:szCs w:val="24"/>
              </w:rPr>
              <w:t>序号</w:t>
            </w:r>
          </w:p>
        </w:tc>
        <w:tc>
          <w:tcPr>
            <w:tcW w:w="3446"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sz w:val="24"/>
                <w:szCs w:val="24"/>
              </w:rPr>
            </w:pPr>
            <w:r>
              <w:rPr>
                <w:rFonts w:ascii="仿宋_GB2312" w:eastAsia="仿宋_GB2312" w:hAnsi="仿宋" w:cs="宋体" w:hint="eastAsia"/>
                <w:sz w:val="24"/>
                <w:szCs w:val="24"/>
              </w:rPr>
              <w:t>职业类</w:t>
            </w:r>
            <w:r>
              <w:rPr>
                <w:rFonts w:ascii="仿宋_GB2312" w:eastAsia="仿宋_GB2312" w:hAnsi="仿宋" w:cs="宋体" w:hint="eastAsia"/>
                <w:color w:val="000000" w:themeColor="text1"/>
                <w:sz w:val="24"/>
                <w:szCs w:val="24"/>
              </w:rPr>
              <w:t>别</w:t>
            </w:r>
            <w:r>
              <w:rPr>
                <w:rFonts w:ascii="仿宋_GB2312" w:eastAsia="仿宋_GB2312" w:hAnsi="仿宋" w:cs="宋体" w:hint="eastAsia"/>
                <w:sz w:val="24"/>
                <w:szCs w:val="24"/>
              </w:rPr>
              <w:t>及代码</w:t>
            </w:r>
          </w:p>
        </w:tc>
        <w:tc>
          <w:tcPr>
            <w:tcW w:w="2636"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sz w:val="24"/>
                <w:szCs w:val="24"/>
              </w:rPr>
            </w:pPr>
            <w:r>
              <w:rPr>
                <w:rFonts w:ascii="仿宋_GB2312" w:eastAsia="仿宋_GB2312" w:hAnsi="仿宋" w:cs="宋体" w:hint="eastAsia"/>
                <w:sz w:val="24"/>
                <w:szCs w:val="24"/>
              </w:rPr>
              <w:t>职业名称及代码</w:t>
            </w:r>
          </w:p>
        </w:tc>
        <w:tc>
          <w:tcPr>
            <w:tcW w:w="2040"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sz w:val="24"/>
                <w:szCs w:val="24"/>
              </w:rPr>
            </w:pPr>
            <w:r>
              <w:rPr>
                <w:rFonts w:ascii="仿宋_GB2312" w:eastAsia="仿宋_GB2312" w:hAnsi="仿宋" w:cs="宋体" w:hint="eastAsia"/>
                <w:sz w:val="24"/>
                <w:szCs w:val="24"/>
              </w:rPr>
              <w:t>职业资格证书</w:t>
            </w:r>
          </w:p>
        </w:tc>
      </w:tr>
      <w:tr w:rsidR="005C7064">
        <w:trPr>
          <w:trHeight w:val="510"/>
          <w:jc w:val="center"/>
        </w:trPr>
        <w:tc>
          <w:tcPr>
            <w:tcW w:w="703"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1</w:t>
            </w:r>
          </w:p>
        </w:tc>
        <w:tc>
          <w:tcPr>
            <w:tcW w:w="3446"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生产、质量、运输及有关人员</w:t>
            </w:r>
            <w:r>
              <w:rPr>
                <w:rFonts w:ascii="仿宋_GB2312" w:eastAsia="仿宋_GB2312" w:hAnsi="仿宋" w:cs="宋体" w:hint="eastAsia"/>
                <w:sz w:val="24"/>
                <w:szCs w:val="24"/>
              </w:rPr>
              <w:t xml:space="preserve">  6/7/8/9</w:t>
            </w:r>
          </w:p>
        </w:tc>
        <w:tc>
          <w:tcPr>
            <w:tcW w:w="2636"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企业班组长及中层领导</w:t>
            </w:r>
            <w:r>
              <w:rPr>
                <w:rFonts w:ascii="仿宋_GB2312" w:eastAsia="仿宋_GB2312" w:hAnsi="仿宋" w:cs="宋体" w:hint="eastAsia"/>
                <w:sz w:val="24"/>
                <w:szCs w:val="24"/>
              </w:rPr>
              <w:t xml:space="preserve"> 601</w:t>
            </w:r>
          </w:p>
        </w:tc>
        <w:tc>
          <w:tcPr>
            <w:tcW w:w="2040" w:type="dxa"/>
            <w:vMerge w:val="restart"/>
            <w:tcBorders>
              <w:top w:val="outset" w:sz="6" w:space="0" w:color="000000"/>
              <w:left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企业人力资源管理师</w:t>
            </w:r>
          </w:p>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初级经济师</w:t>
            </w:r>
          </w:p>
        </w:tc>
      </w:tr>
      <w:tr w:rsidR="005C7064">
        <w:trPr>
          <w:trHeight w:val="510"/>
          <w:jc w:val="center"/>
        </w:trPr>
        <w:tc>
          <w:tcPr>
            <w:tcW w:w="703"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2</w:t>
            </w:r>
          </w:p>
        </w:tc>
        <w:tc>
          <w:tcPr>
            <w:tcW w:w="3446"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商业、服务业人员</w:t>
            </w:r>
            <w:r>
              <w:rPr>
                <w:rFonts w:ascii="仿宋_GB2312" w:eastAsia="仿宋_GB2312" w:hAnsi="仿宋" w:cs="宋体" w:hint="eastAsia"/>
                <w:sz w:val="24"/>
                <w:szCs w:val="24"/>
              </w:rPr>
              <w:t xml:space="preserve"> 4</w:t>
            </w:r>
          </w:p>
        </w:tc>
        <w:tc>
          <w:tcPr>
            <w:tcW w:w="2636"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推销、展销人员</w:t>
            </w:r>
            <w:r>
              <w:rPr>
                <w:rFonts w:ascii="仿宋_GB2312" w:eastAsia="仿宋_GB2312" w:hAnsi="仿宋" w:cs="宋体" w:hint="eastAsia"/>
                <w:sz w:val="24"/>
                <w:szCs w:val="24"/>
              </w:rPr>
              <w:t xml:space="preserve"> 412</w:t>
            </w:r>
          </w:p>
        </w:tc>
        <w:tc>
          <w:tcPr>
            <w:tcW w:w="2040" w:type="dxa"/>
            <w:vMerge/>
            <w:tcBorders>
              <w:left w:val="outset" w:sz="6" w:space="0" w:color="000000"/>
              <w:right w:val="outset" w:sz="6" w:space="0" w:color="000000"/>
            </w:tcBorders>
            <w:shd w:val="clear" w:color="auto" w:fill="FFFFFF"/>
            <w:vAlign w:val="center"/>
          </w:tcPr>
          <w:p w:rsidR="005C7064" w:rsidRDefault="005C7064">
            <w:pPr>
              <w:adjustRightInd w:val="0"/>
              <w:snapToGrid w:val="0"/>
              <w:jc w:val="center"/>
              <w:rPr>
                <w:rFonts w:ascii="仿宋_GB2312" w:eastAsia="仿宋_GB2312" w:hAnsi="宋体" w:cs="宋体"/>
                <w:sz w:val="24"/>
                <w:szCs w:val="24"/>
              </w:rPr>
            </w:pPr>
          </w:p>
        </w:tc>
      </w:tr>
      <w:tr w:rsidR="005C7064">
        <w:trPr>
          <w:trHeight w:val="510"/>
          <w:jc w:val="center"/>
        </w:trPr>
        <w:tc>
          <w:tcPr>
            <w:tcW w:w="703"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3</w:t>
            </w:r>
          </w:p>
        </w:tc>
        <w:tc>
          <w:tcPr>
            <w:tcW w:w="3446"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办事人员和有关人员</w:t>
            </w:r>
            <w:r>
              <w:rPr>
                <w:rFonts w:ascii="仿宋_GB2312" w:eastAsia="仿宋_GB2312" w:hAnsi="仿宋" w:cs="宋体" w:hint="eastAsia"/>
                <w:sz w:val="24"/>
                <w:szCs w:val="24"/>
              </w:rPr>
              <w:t xml:space="preserve"> 3</w:t>
            </w:r>
          </w:p>
        </w:tc>
        <w:tc>
          <w:tcPr>
            <w:tcW w:w="2636"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行政业务人员</w:t>
            </w:r>
            <w:r>
              <w:rPr>
                <w:rFonts w:ascii="仿宋_GB2312" w:eastAsia="仿宋_GB2312" w:hAnsi="仿宋" w:cs="宋体" w:hint="eastAsia"/>
                <w:sz w:val="24"/>
                <w:szCs w:val="24"/>
              </w:rPr>
              <w:t xml:space="preserve"> 311</w:t>
            </w:r>
          </w:p>
        </w:tc>
        <w:tc>
          <w:tcPr>
            <w:tcW w:w="2040" w:type="dxa"/>
            <w:vMerge/>
            <w:tcBorders>
              <w:left w:val="outset" w:sz="6" w:space="0" w:color="000000"/>
              <w:bottom w:val="outset" w:sz="6" w:space="0" w:color="000000"/>
              <w:right w:val="outset" w:sz="6" w:space="0" w:color="000000"/>
            </w:tcBorders>
            <w:shd w:val="clear" w:color="auto" w:fill="FFFFFF"/>
            <w:vAlign w:val="center"/>
          </w:tcPr>
          <w:p w:rsidR="005C7064" w:rsidRDefault="005C7064">
            <w:pPr>
              <w:adjustRightInd w:val="0"/>
              <w:snapToGrid w:val="0"/>
              <w:jc w:val="center"/>
              <w:rPr>
                <w:rFonts w:ascii="仿宋_GB2312" w:eastAsia="仿宋_GB2312" w:hAnsi="宋体" w:cs="宋体"/>
                <w:sz w:val="24"/>
                <w:szCs w:val="24"/>
              </w:rPr>
            </w:pPr>
          </w:p>
        </w:tc>
      </w:tr>
    </w:tbl>
    <w:p w:rsidR="005C7064" w:rsidRDefault="00CA6BF1">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（二）工作岗位</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经过企业实地调研、往届毕业生调研和企业专家来校协商讨论，本专业学生主要就业岗位如下。</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1.</w:t>
      </w:r>
      <w:r>
        <w:rPr>
          <w:rFonts w:ascii="仿宋_GB2312" w:eastAsia="仿宋_GB2312" w:hint="eastAsia"/>
          <w:sz w:val="24"/>
          <w:szCs w:val="24"/>
        </w:rPr>
        <w:t>初始就业岗位群</w:t>
      </w:r>
      <w:r>
        <w:rPr>
          <w:rFonts w:ascii="仿宋_GB2312" w:eastAsia="仿宋_GB2312" w:hint="eastAsia"/>
          <w:sz w:val="24"/>
          <w:szCs w:val="24"/>
        </w:rPr>
        <w:t xml:space="preserve">: </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w:t>
      </w:r>
      <w:r>
        <w:rPr>
          <w:rFonts w:ascii="仿宋_GB2312" w:eastAsia="仿宋_GB2312" w:hint="eastAsia"/>
          <w:sz w:val="24"/>
          <w:szCs w:val="24"/>
        </w:rPr>
        <w:t>1</w:t>
      </w:r>
      <w:r>
        <w:rPr>
          <w:rFonts w:ascii="仿宋_GB2312" w:eastAsia="仿宋_GB2312" w:hint="eastAsia"/>
          <w:sz w:val="24"/>
          <w:szCs w:val="24"/>
        </w:rPr>
        <w:t>）各类工商企业生产现场管理与质量管理部门及相关工作领域的业务岗位；</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w:t>
      </w:r>
      <w:r>
        <w:rPr>
          <w:rFonts w:ascii="仿宋_GB2312" w:eastAsia="仿宋_GB2312" w:hint="eastAsia"/>
          <w:sz w:val="24"/>
          <w:szCs w:val="24"/>
        </w:rPr>
        <w:t>2</w:t>
      </w:r>
      <w:r>
        <w:rPr>
          <w:rFonts w:ascii="仿宋_GB2312" w:eastAsia="仿宋_GB2312" w:hint="eastAsia"/>
          <w:sz w:val="24"/>
          <w:szCs w:val="24"/>
        </w:rPr>
        <w:t>）各类工商企业行政人力资源管理部门及相关工作领域的业务岗位；</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w:t>
      </w:r>
      <w:r>
        <w:rPr>
          <w:rFonts w:ascii="仿宋_GB2312" w:eastAsia="仿宋_GB2312" w:hint="eastAsia"/>
          <w:sz w:val="24"/>
          <w:szCs w:val="24"/>
        </w:rPr>
        <w:t>3</w:t>
      </w:r>
      <w:r>
        <w:rPr>
          <w:rFonts w:ascii="仿宋_GB2312" w:eastAsia="仿宋_GB2312" w:hint="eastAsia"/>
          <w:sz w:val="24"/>
          <w:szCs w:val="24"/>
        </w:rPr>
        <w:t>）各类工商企业市场营销部门及相关工作领域的业务岗位。</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2.</w:t>
      </w:r>
      <w:r>
        <w:rPr>
          <w:rFonts w:ascii="仿宋_GB2312" w:eastAsia="仿宋_GB2312" w:hint="eastAsia"/>
          <w:sz w:val="24"/>
          <w:szCs w:val="24"/>
        </w:rPr>
        <w:t>发展岗位群</w:t>
      </w:r>
      <w:r>
        <w:rPr>
          <w:rFonts w:ascii="仿宋_GB2312" w:eastAsia="仿宋_GB2312" w:hint="eastAsia"/>
          <w:sz w:val="24"/>
          <w:szCs w:val="24"/>
        </w:rPr>
        <w:t xml:space="preserve">: </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w:t>
      </w:r>
      <w:r>
        <w:rPr>
          <w:rFonts w:ascii="仿宋_GB2312" w:eastAsia="仿宋_GB2312" w:hint="eastAsia"/>
          <w:sz w:val="24"/>
          <w:szCs w:val="24"/>
        </w:rPr>
        <w:t>1</w:t>
      </w:r>
      <w:r>
        <w:rPr>
          <w:rFonts w:ascii="仿宋_GB2312" w:eastAsia="仿宋_GB2312" w:hint="eastAsia"/>
          <w:sz w:val="24"/>
          <w:szCs w:val="24"/>
        </w:rPr>
        <w:t>）各类工商企业生产现场管理与质量管理部门及相关工作领域的管理岗位；</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w:t>
      </w:r>
      <w:r>
        <w:rPr>
          <w:rFonts w:ascii="仿宋_GB2312" w:eastAsia="仿宋_GB2312" w:hint="eastAsia"/>
          <w:sz w:val="24"/>
          <w:szCs w:val="24"/>
        </w:rPr>
        <w:t>2</w:t>
      </w:r>
      <w:r>
        <w:rPr>
          <w:rFonts w:ascii="仿宋_GB2312" w:eastAsia="仿宋_GB2312" w:hint="eastAsia"/>
          <w:sz w:val="24"/>
          <w:szCs w:val="24"/>
        </w:rPr>
        <w:t>）各类工商企业行政人力资源管理部门及相关工作领域的管理岗位；</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w:t>
      </w:r>
      <w:r>
        <w:rPr>
          <w:rFonts w:ascii="仿宋_GB2312" w:eastAsia="仿宋_GB2312" w:hint="eastAsia"/>
          <w:sz w:val="24"/>
          <w:szCs w:val="24"/>
        </w:rPr>
        <w:t>3</w:t>
      </w:r>
      <w:r>
        <w:rPr>
          <w:rFonts w:ascii="仿宋_GB2312" w:eastAsia="仿宋_GB2312" w:hint="eastAsia"/>
          <w:sz w:val="24"/>
          <w:szCs w:val="24"/>
        </w:rPr>
        <w:t>）各类工商企业市场营销部门及相关工作领域的管</w:t>
      </w:r>
      <w:r>
        <w:rPr>
          <w:rFonts w:ascii="仿宋_GB2312" w:eastAsia="仿宋_GB2312" w:hint="eastAsia"/>
          <w:sz w:val="24"/>
          <w:szCs w:val="24"/>
        </w:rPr>
        <w:t>理岗位。</w:t>
      </w:r>
    </w:p>
    <w:p w:rsidR="005C7064" w:rsidRDefault="00CA6BF1">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（三）工作任务与职业能力分解</w:t>
      </w:r>
    </w:p>
    <w:p w:rsidR="005C7064" w:rsidRDefault="00CA6BF1">
      <w:pPr>
        <w:adjustRightInd w:val="0"/>
        <w:snapToGrid w:val="0"/>
        <w:spacing w:afterLines="50" w:after="120"/>
        <w:ind w:firstLineChars="200" w:firstLine="480"/>
        <w:rPr>
          <w:rFonts w:ascii="仿宋_GB2312" w:eastAsia="仿宋_GB2312"/>
          <w:sz w:val="24"/>
          <w:szCs w:val="24"/>
        </w:rPr>
      </w:pPr>
      <w:r>
        <w:rPr>
          <w:rFonts w:ascii="仿宋_GB2312" w:eastAsia="仿宋_GB2312" w:hint="eastAsia"/>
          <w:sz w:val="24"/>
          <w:szCs w:val="24"/>
        </w:rPr>
        <w:t>经过教研室老师多年的企业调研和企业专家论证，确定工作领域、工作任务和职业能力结果如下：</w:t>
      </w:r>
    </w:p>
    <w:p w:rsidR="005C7064" w:rsidRDefault="005C7064">
      <w:pPr>
        <w:adjustRightInd w:val="0"/>
        <w:snapToGrid w:val="0"/>
        <w:spacing w:afterLines="50" w:after="120"/>
        <w:ind w:firstLineChars="200" w:firstLine="480"/>
        <w:rPr>
          <w:rFonts w:ascii="仿宋_GB2312" w:eastAsia="仿宋_GB2312"/>
          <w:sz w:val="24"/>
          <w:szCs w:val="24"/>
        </w:rPr>
      </w:pPr>
    </w:p>
    <w:p w:rsidR="000E13A3" w:rsidRDefault="000E13A3">
      <w:pPr>
        <w:adjustRightInd w:val="0"/>
        <w:snapToGrid w:val="0"/>
        <w:ind w:firstLineChars="200" w:firstLine="480"/>
        <w:jc w:val="center"/>
        <w:rPr>
          <w:rFonts w:ascii="仿宋_GB2312" w:eastAsia="仿宋_GB2312" w:hint="eastAsia"/>
          <w:sz w:val="24"/>
          <w:szCs w:val="24"/>
        </w:rPr>
      </w:pPr>
    </w:p>
    <w:p w:rsidR="005C7064" w:rsidRDefault="00CA6BF1">
      <w:pPr>
        <w:adjustRightInd w:val="0"/>
        <w:snapToGrid w:val="0"/>
        <w:ind w:firstLineChars="200" w:firstLine="480"/>
        <w:jc w:val="center"/>
        <w:rPr>
          <w:rFonts w:ascii="仿宋_GB2312" w:eastAsia="仿宋_GB2312"/>
          <w:sz w:val="24"/>
          <w:szCs w:val="24"/>
        </w:rPr>
      </w:pPr>
      <w:r>
        <w:rPr>
          <w:rFonts w:ascii="仿宋_GB2312" w:eastAsia="仿宋_GB2312" w:hint="eastAsia"/>
          <w:sz w:val="24"/>
          <w:szCs w:val="24"/>
        </w:rPr>
        <w:lastRenderedPageBreak/>
        <w:t>表</w:t>
      </w:r>
      <w:r>
        <w:rPr>
          <w:rFonts w:ascii="仿宋_GB2312" w:eastAsia="仿宋_GB2312" w:hint="eastAsia"/>
          <w:sz w:val="24"/>
          <w:szCs w:val="24"/>
        </w:rPr>
        <w:t xml:space="preserve">2  </w:t>
      </w:r>
      <w:r>
        <w:rPr>
          <w:rFonts w:ascii="仿宋_GB2312" w:eastAsia="仿宋_GB2312" w:hint="eastAsia"/>
          <w:sz w:val="24"/>
          <w:szCs w:val="24"/>
        </w:rPr>
        <w:t>工作任务与职业能力分解表</w:t>
      </w:r>
    </w:p>
    <w:tbl>
      <w:tblPr>
        <w:tblW w:w="9504" w:type="dxa"/>
        <w:jc w:val="center"/>
        <w:tblBorders>
          <w:top w:val="outset" w:sz="6" w:space="0" w:color="000000"/>
          <w:left w:val="outset" w:sz="6" w:space="0" w:color="000000"/>
          <w:bottom w:val="outset" w:sz="6" w:space="0" w:color="000000"/>
          <w:right w:val="out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647"/>
        <w:gridCol w:w="1142"/>
        <w:gridCol w:w="2694"/>
        <w:gridCol w:w="2381"/>
        <w:gridCol w:w="1701"/>
        <w:gridCol w:w="939"/>
      </w:tblGrid>
      <w:tr w:rsidR="005C7064">
        <w:trPr>
          <w:trHeight w:val="20"/>
          <w:tblHeader/>
          <w:jc w:val="center"/>
        </w:trPr>
        <w:tc>
          <w:tcPr>
            <w:tcW w:w="647"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序号</w:t>
            </w:r>
          </w:p>
        </w:tc>
        <w:tc>
          <w:tcPr>
            <w:tcW w:w="1142"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工作领域</w:t>
            </w:r>
          </w:p>
        </w:tc>
        <w:tc>
          <w:tcPr>
            <w:tcW w:w="2694"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工作任务</w:t>
            </w:r>
          </w:p>
        </w:tc>
        <w:tc>
          <w:tcPr>
            <w:tcW w:w="2381"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职业能力</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相关课程</w:t>
            </w:r>
          </w:p>
        </w:tc>
        <w:tc>
          <w:tcPr>
            <w:tcW w:w="939"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考证考级要求</w:t>
            </w:r>
          </w:p>
        </w:tc>
      </w:tr>
      <w:tr w:rsidR="005C7064">
        <w:trPr>
          <w:trHeight w:val="20"/>
          <w:jc w:val="center"/>
        </w:trPr>
        <w:tc>
          <w:tcPr>
            <w:tcW w:w="647"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1</w:t>
            </w:r>
          </w:p>
        </w:tc>
        <w:tc>
          <w:tcPr>
            <w:tcW w:w="1142"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生产管理</w:t>
            </w:r>
          </w:p>
        </w:tc>
        <w:tc>
          <w:tcPr>
            <w:tcW w:w="2694"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rPr>
                <w:rFonts w:ascii="仿宋_GB2312" w:eastAsia="仿宋_GB2312" w:hAnsi="仿宋" w:cs="宋体"/>
                <w:sz w:val="24"/>
                <w:szCs w:val="24"/>
              </w:rPr>
            </w:pPr>
            <w:r>
              <w:rPr>
                <w:rFonts w:ascii="仿宋_GB2312" w:eastAsia="仿宋_GB2312" w:hAnsi="仿宋" w:cs="宋体" w:hint="eastAsia"/>
                <w:sz w:val="24"/>
                <w:szCs w:val="24"/>
              </w:rPr>
              <w:t>布置企业生产系统；组织生产过程；管理车间设备；控制产品质量。</w:t>
            </w:r>
          </w:p>
        </w:tc>
        <w:tc>
          <w:tcPr>
            <w:tcW w:w="2381"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rPr>
                <w:rFonts w:ascii="仿宋_GB2312" w:eastAsia="仿宋_GB2312" w:hAnsi="仿宋" w:cs="宋体"/>
                <w:sz w:val="24"/>
                <w:szCs w:val="24"/>
              </w:rPr>
            </w:pPr>
            <w:r>
              <w:rPr>
                <w:rFonts w:ascii="仿宋_GB2312" w:eastAsia="仿宋_GB2312" w:hAnsi="仿宋" w:cs="宋体" w:hint="eastAsia"/>
                <w:sz w:val="24"/>
                <w:szCs w:val="24"/>
              </w:rPr>
              <w:t>设备认知能力、组织管理能力、质量管控能力</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rPr>
                <w:rFonts w:ascii="仿宋_GB2312" w:eastAsia="仿宋_GB2312" w:hAnsi="仿宋" w:cs="宋体"/>
                <w:sz w:val="24"/>
                <w:szCs w:val="24"/>
              </w:rPr>
            </w:pPr>
            <w:r>
              <w:rPr>
                <w:rFonts w:ascii="仿宋_GB2312" w:eastAsia="仿宋_GB2312" w:hAnsi="仿宋" w:cs="宋体" w:hint="eastAsia"/>
                <w:sz w:val="24"/>
                <w:szCs w:val="24"/>
              </w:rPr>
              <w:t>生产</w:t>
            </w:r>
            <w:r>
              <w:rPr>
                <w:rFonts w:ascii="仿宋_GB2312" w:eastAsia="仿宋_GB2312" w:hAnsi="仿宋" w:cs="宋体" w:hint="eastAsia"/>
                <w:color w:val="000000" w:themeColor="text1"/>
                <w:sz w:val="24"/>
                <w:szCs w:val="24"/>
              </w:rPr>
              <w:t>运作</w:t>
            </w:r>
            <w:r>
              <w:rPr>
                <w:rFonts w:ascii="仿宋_GB2312" w:eastAsia="仿宋_GB2312" w:hAnsi="仿宋" w:cs="宋体" w:hint="eastAsia"/>
                <w:sz w:val="24"/>
                <w:szCs w:val="24"/>
              </w:rPr>
              <w:t>管理、质量管理</w:t>
            </w:r>
          </w:p>
        </w:tc>
        <w:tc>
          <w:tcPr>
            <w:tcW w:w="939"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无</w:t>
            </w:r>
          </w:p>
        </w:tc>
      </w:tr>
      <w:tr w:rsidR="005C7064">
        <w:trPr>
          <w:trHeight w:val="20"/>
          <w:jc w:val="center"/>
        </w:trPr>
        <w:tc>
          <w:tcPr>
            <w:tcW w:w="647"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2</w:t>
            </w:r>
          </w:p>
        </w:tc>
        <w:tc>
          <w:tcPr>
            <w:tcW w:w="1142"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连锁经营</w:t>
            </w:r>
          </w:p>
        </w:tc>
        <w:tc>
          <w:tcPr>
            <w:tcW w:w="2694"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rPr>
                <w:rFonts w:ascii="仿宋_GB2312" w:eastAsia="仿宋_GB2312" w:hAnsi="仿宋" w:cs="宋体"/>
                <w:sz w:val="24"/>
                <w:szCs w:val="24"/>
              </w:rPr>
            </w:pPr>
            <w:r>
              <w:rPr>
                <w:rFonts w:ascii="仿宋_GB2312" w:eastAsia="仿宋_GB2312" w:hAnsi="仿宋" w:cs="宋体" w:hint="eastAsia"/>
                <w:sz w:val="24"/>
                <w:szCs w:val="24"/>
              </w:rPr>
              <w:t>了解市场；分析卖场的产品信息；制定产品策略；制定价格策略；制定促销策略；制定渠道策略。</w:t>
            </w:r>
          </w:p>
        </w:tc>
        <w:tc>
          <w:tcPr>
            <w:tcW w:w="2381"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市场分析能力、市场调研能力、连锁经营能力</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rPr>
                <w:rFonts w:ascii="仿宋_GB2312" w:eastAsia="仿宋_GB2312" w:hAnsi="仿宋" w:cs="宋体"/>
                <w:sz w:val="24"/>
                <w:szCs w:val="24"/>
              </w:rPr>
            </w:pPr>
            <w:r>
              <w:rPr>
                <w:rFonts w:ascii="仿宋_GB2312" w:eastAsia="仿宋_GB2312" w:hAnsi="仿宋" w:cs="宋体" w:hint="eastAsia"/>
                <w:sz w:val="24"/>
                <w:szCs w:val="24"/>
              </w:rPr>
              <w:t>市场营销实务、连锁经营与管理、连锁门</w:t>
            </w:r>
            <w:proofErr w:type="gramStart"/>
            <w:r>
              <w:rPr>
                <w:rFonts w:ascii="仿宋_GB2312" w:eastAsia="仿宋_GB2312" w:hAnsi="仿宋" w:cs="宋体" w:hint="eastAsia"/>
                <w:sz w:val="24"/>
                <w:szCs w:val="24"/>
              </w:rPr>
              <w:t>店开发</w:t>
            </w:r>
            <w:proofErr w:type="gramEnd"/>
            <w:r>
              <w:rPr>
                <w:rFonts w:ascii="仿宋_GB2312" w:eastAsia="仿宋_GB2312" w:hAnsi="仿宋" w:cs="宋体" w:hint="eastAsia"/>
                <w:sz w:val="24"/>
                <w:szCs w:val="24"/>
              </w:rPr>
              <w:t>与运营</w:t>
            </w:r>
          </w:p>
        </w:tc>
        <w:tc>
          <w:tcPr>
            <w:tcW w:w="939"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无</w:t>
            </w:r>
          </w:p>
        </w:tc>
      </w:tr>
      <w:tr w:rsidR="005C7064">
        <w:trPr>
          <w:trHeight w:val="20"/>
          <w:jc w:val="center"/>
        </w:trPr>
        <w:tc>
          <w:tcPr>
            <w:tcW w:w="647"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3</w:t>
            </w:r>
          </w:p>
        </w:tc>
        <w:tc>
          <w:tcPr>
            <w:tcW w:w="1142"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sz w:val="24"/>
                <w:szCs w:val="24"/>
              </w:rPr>
              <w:t>人力资源管理</w:t>
            </w:r>
          </w:p>
        </w:tc>
        <w:tc>
          <w:tcPr>
            <w:tcW w:w="2694"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rPr>
                <w:rFonts w:ascii="仿宋_GB2312" w:eastAsia="仿宋_GB2312" w:hAnsi="仿宋" w:cs="宋体"/>
                <w:sz w:val="24"/>
                <w:szCs w:val="24"/>
              </w:rPr>
            </w:pPr>
            <w:r>
              <w:rPr>
                <w:rFonts w:ascii="仿宋_GB2312" w:eastAsia="仿宋_GB2312" w:hAnsi="仿宋" w:cs="宋体" w:hint="eastAsia"/>
                <w:sz w:val="24"/>
                <w:szCs w:val="24"/>
              </w:rPr>
              <w:t>制定人力资源计划；招聘人才；培训人才；绩效管理；制定人才薪酬与福利；劳动关系管理。</w:t>
            </w:r>
          </w:p>
        </w:tc>
        <w:tc>
          <w:tcPr>
            <w:tcW w:w="2381"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rPr>
                <w:rFonts w:ascii="仿宋_GB2312" w:eastAsia="仿宋_GB2312" w:hAnsi="仿宋" w:cs="宋体"/>
                <w:sz w:val="24"/>
                <w:szCs w:val="24"/>
              </w:rPr>
            </w:pPr>
            <w:r>
              <w:rPr>
                <w:rFonts w:ascii="仿宋_GB2312" w:eastAsia="仿宋_GB2312" w:hAnsi="仿宋" w:cs="宋体" w:hint="eastAsia"/>
                <w:sz w:val="24"/>
                <w:szCs w:val="24"/>
              </w:rPr>
              <w:t>管理沟通能力、培训能力、绩效分析能力、薪酬调研与制定能力、劳资关系协调能力</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rPr>
                <w:rFonts w:ascii="仿宋_GB2312" w:eastAsia="仿宋_GB2312" w:hAnsi="仿宋" w:cs="宋体"/>
                <w:sz w:val="24"/>
                <w:szCs w:val="24"/>
              </w:rPr>
            </w:pPr>
            <w:r>
              <w:rPr>
                <w:rFonts w:ascii="仿宋_GB2312" w:eastAsia="仿宋_GB2312" w:hAnsi="仿宋" w:cs="宋体" w:hint="eastAsia"/>
                <w:sz w:val="24"/>
                <w:szCs w:val="24"/>
              </w:rPr>
              <w:t>企业人力资源管理、管理沟通</w:t>
            </w:r>
          </w:p>
        </w:tc>
        <w:tc>
          <w:tcPr>
            <w:tcW w:w="939"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5C7064" w:rsidRDefault="00CA6BF1">
            <w:pPr>
              <w:adjustRightInd w:val="0"/>
              <w:snapToGrid w:val="0"/>
              <w:jc w:val="center"/>
              <w:rPr>
                <w:rFonts w:ascii="仿宋_GB2312" w:eastAsia="仿宋_GB2312" w:hAnsi="仿宋" w:cs="宋体"/>
                <w:sz w:val="24"/>
                <w:szCs w:val="24"/>
              </w:rPr>
            </w:pPr>
            <w:r>
              <w:rPr>
                <w:rFonts w:ascii="仿宋_GB2312" w:eastAsia="仿宋_GB2312" w:hAnsi="仿宋" w:cs="宋体" w:hint="eastAsia"/>
                <w:color w:val="000000" w:themeColor="text1"/>
                <w:sz w:val="24"/>
                <w:szCs w:val="24"/>
              </w:rPr>
              <w:t>企业人</w:t>
            </w:r>
            <w:r>
              <w:rPr>
                <w:rFonts w:ascii="仿宋_GB2312" w:eastAsia="仿宋_GB2312" w:hAnsi="仿宋" w:cs="宋体" w:hint="eastAsia"/>
                <w:sz w:val="24"/>
                <w:szCs w:val="24"/>
              </w:rPr>
              <w:t>力资源管理师四级</w:t>
            </w:r>
          </w:p>
        </w:tc>
      </w:tr>
    </w:tbl>
    <w:p w:rsidR="005C7064" w:rsidRDefault="005C7064">
      <w:pPr>
        <w:adjustRightInd w:val="0"/>
        <w:snapToGrid w:val="0"/>
        <w:ind w:firstLineChars="250" w:firstLine="600"/>
        <w:jc w:val="left"/>
        <w:rPr>
          <w:rFonts w:ascii="黑体" w:eastAsia="黑体" w:hAnsi="黑体"/>
          <w:sz w:val="24"/>
          <w:szCs w:val="24"/>
        </w:rPr>
      </w:pPr>
    </w:p>
    <w:p w:rsidR="005C7064" w:rsidRDefault="00CA6BF1">
      <w:pPr>
        <w:adjustRightInd w:val="0"/>
        <w:snapToGrid w:val="0"/>
        <w:ind w:firstLineChars="250" w:firstLine="600"/>
        <w:jc w:val="left"/>
        <w:rPr>
          <w:rFonts w:ascii="黑体" w:eastAsia="黑体" w:hAnsi="黑体"/>
          <w:sz w:val="24"/>
          <w:szCs w:val="24"/>
        </w:rPr>
      </w:pPr>
      <w:r>
        <w:rPr>
          <w:rFonts w:ascii="黑体" w:eastAsia="黑体" w:hAnsi="黑体" w:hint="eastAsia"/>
          <w:sz w:val="24"/>
          <w:szCs w:val="24"/>
        </w:rPr>
        <w:t>五、培养目标及规格</w:t>
      </w:r>
    </w:p>
    <w:p w:rsidR="005C7064" w:rsidRDefault="00CA6BF1">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（一）培养目标</w:t>
      </w:r>
    </w:p>
    <w:p w:rsidR="005C7064" w:rsidRDefault="00CA6BF1">
      <w:pPr>
        <w:adjustRightInd w:val="0"/>
        <w:snapToGrid w:val="0"/>
        <w:ind w:firstLineChars="200" w:firstLine="480"/>
        <w:jc w:val="left"/>
        <w:rPr>
          <w:rFonts w:ascii="仿宋_GB2312" w:eastAsia="仿宋_GB2312" w:hAnsi="仿宋" w:cs="宋体"/>
          <w:color w:val="000000" w:themeColor="text1"/>
          <w:sz w:val="24"/>
          <w:szCs w:val="24"/>
        </w:rPr>
      </w:pPr>
      <w:r>
        <w:rPr>
          <w:rFonts w:ascii="仿宋_GB2312" w:eastAsia="仿宋_GB2312" w:hAnsi="仿宋" w:cs="宋体" w:hint="eastAsia"/>
          <w:color w:val="000000" w:themeColor="text1"/>
          <w:sz w:val="24"/>
          <w:szCs w:val="24"/>
        </w:rPr>
        <w:t>培养德、智、体、美、</w:t>
      </w:r>
      <w:proofErr w:type="gramStart"/>
      <w:r>
        <w:rPr>
          <w:rFonts w:ascii="仿宋_GB2312" w:eastAsia="仿宋_GB2312" w:hAnsi="仿宋" w:cs="宋体" w:hint="eastAsia"/>
          <w:color w:val="000000" w:themeColor="text1"/>
          <w:sz w:val="24"/>
          <w:szCs w:val="24"/>
        </w:rPr>
        <w:t>劳</w:t>
      </w:r>
      <w:proofErr w:type="gramEnd"/>
      <w:r>
        <w:rPr>
          <w:rFonts w:ascii="仿宋_GB2312" w:eastAsia="仿宋_GB2312" w:hAnsi="仿宋" w:cs="宋体" w:hint="eastAsia"/>
          <w:color w:val="000000" w:themeColor="text1"/>
          <w:sz w:val="24"/>
          <w:szCs w:val="24"/>
        </w:rPr>
        <w:t>全面发展，具有较强的创新和可持续发展能力，务实与协作精神，掌握现代企业经营管理知识与实务，具备从事企业一线经营管理的能力，能够在企事业单位从事生产管理、人力资源管理、质量管理、市场营销等工作，具备创新创业和终身学习素质，毕业后</w:t>
      </w:r>
      <w:r>
        <w:rPr>
          <w:rFonts w:ascii="仿宋_GB2312" w:eastAsia="仿宋_GB2312" w:hAnsi="仿宋" w:cs="宋体" w:hint="eastAsia"/>
          <w:color w:val="000000" w:themeColor="text1"/>
          <w:sz w:val="24"/>
          <w:szCs w:val="24"/>
        </w:rPr>
        <w:t>3-5</w:t>
      </w:r>
      <w:r>
        <w:rPr>
          <w:rFonts w:ascii="仿宋_GB2312" w:eastAsia="仿宋_GB2312" w:hAnsi="仿宋" w:cs="宋体" w:hint="eastAsia"/>
          <w:color w:val="000000" w:themeColor="text1"/>
          <w:sz w:val="24"/>
          <w:szCs w:val="24"/>
        </w:rPr>
        <w:t>年能在企业承担管理任务的复合型技术技能人才。</w:t>
      </w:r>
    </w:p>
    <w:p w:rsidR="005C7064" w:rsidRDefault="00CA6BF1">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（二）人才规格</w:t>
      </w:r>
    </w:p>
    <w:p w:rsidR="005C7064" w:rsidRDefault="00CA6BF1">
      <w:pPr>
        <w:adjustRightInd w:val="0"/>
        <w:snapToGrid w:val="0"/>
        <w:ind w:firstLineChars="200" w:firstLine="480"/>
        <w:jc w:val="left"/>
        <w:rPr>
          <w:rFonts w:ascii="仿宋_GB2312" w:eastAsia="仿宋_GB2312" w:hAnsi="仿宋" w:cs="宋体"/>
          <w:sz w:val="24"/>
          <w:szCs w:val="24"/>
        </w:rPr>
      </w:pPr>
      <w:r>
        <w:rPr>
          <w:rFonts w:ascii="仿宋_GB2312" w:eastAsia="仿宋_GB2312" w:hAnsi="仿宋" w:cs="宋体" w:hint="eastAsia"/>
          <w:sz w:val="24"/>
          <w:szCs w:val="24"/>
        </w:rPr>
        <w:t>该专业核心能力为：工商企业基层管理能力。其知识、技术技能、素质结构与态度要求如下：</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表</w:t>
      </w:r>
      <w:r>
        <w:rPr>
          <w:rFonts w:ascii="仿宋_GB2312" w:eastAsia="仿宋_GB2312" w:hint="eastAsia"/>
          <w:sz w:val="24"/>
          <w:szCs w:val="24"/>
        </w:rPr>
        <w:t xml:space="preserve">3  </w:t>
      </w:r>
      <w:r>
        <w:rPr>
          <w:rFonts w:ascii="仿宋_GB2312" w:eastAsia="仿宋_GB2312" w:hint="eastAsia"/>
          <w:sz w:val="24"/>
          <w:szCs w:val="24"/>
        </w:rPr>
        <w:t>专业要求及配套课程</w:t>
      </w:r>
    </w:p>
    <w:tbl>
      <w:tblPr>
        <w:tblStyle w:val="110"/>
        <w:tblW w:w="9464" w:type="dxa"/>
        <w:jc w:val="center"/>
        <w:tblLayout w:type="fixed"/>
        <w:tblLook w:val="04A0" w:firstRow="1" w:lastRow="0" w:firstColumn="1" w:lastColumn="0" w:noHBand="0" w:noVBand="1"/>
      </w:tblPr>
      <w:tblGrid>
        <w:gridCol w:w="430"/>
        <w:gridCol w:w="555"/>
        <w:gridCol w:w="2667"/>
        <w:gridCol w:w="5812"/>
      </w:tblGrid>
      <w:tr w:rsidR="005C7064">
        <w:trPr>
          <w:trHeight w:val="20"/>
          <w:jc w:val="center"/>
        </w:trPr>
        <w:tc>
          <w:tcPr>
            <w:tcW w:w="3652" w:type="dxa"/>
            <w:gridSpan w:val="3"/>
            <w:vAlign w:val="center"/>
          </w:tcPr>
          <w:p w:rsidR="005C7064" w:rsidRDefault="00CA6BF1">
            <w:pPr>
              <w:adjustRightInd w:val="0"/>
              <w:snapToGrid w:val="0"/>
              <w:spacing w:beforeLines="10" w:before="24" w:afterLines="10" w:after="24"/>
              <w:jc w:val="center"/>
              <w:rPr>
                <w:rFonts w:ascii="仿宋_GB2312" w:eastAsia="仿宋_GB2312" w:hAnsiTheme="minorHAnsi" w:cstheme="minorBidi"/>
                <w:sz w:val="24"/>
                <w:szCs w:val="24"/>
              </w:rPr>
            </w:pPr>
            <w:r>
              <w:rPr>
                <w:rFonts w:ascii="仿宋_GB2312" w:eastAsia="仿宋_GB2312" w:hAnsiTheme="minorHAnsi" w:cstheme="minorBidi" w:hint="eastAsia"/>
                <w:sz w:val="24"/>
                <w:szCs w:val="24"/>
              </w:rPr>
              <w:t>要求内容</w:t>
            </w:r>
          </w:p>
        </w:tc>
        <w:tc>
          <w:tcPr>
            <w:tcW w:w="5812" w:type="dxa"/>
            <w:vAlign w:val="center"/>
          </w:tcPr>
          <w:p w:rsidR="005C7064" w:rsidRDefault="00CA6BF1">
            <w:pPr>
              <w:adjustRightInd w:val="0"/>
              <w:snapToGrid w:val="0"/>
              <w:spacing w:beforeLines="10" w:before="24" w:afterLines="10" w:after="24"/>
              <w:jc w:val="center"/>
              <w:rPr>
                <w:rFonts w:ascii="仿宋_GB2312" w:eastAsia="仿宋_GB2312" w:hAnsiTheme="minorHAnsi" w:cstheme="minorBidi"/>
                <w:sz w:val="24"/>
                <w:szCs w:val="24"/>
              </w:rPr>
            </w:pPr>
            <w:r>
              <w:rPr>
                <w:rFonts w:ascii="仿宋_GB2312" w:eastAsia="仿宋_GB2312" w:hAnsiTheme="minorHAnsi" w:cstheme="minorBidi" w:hint="eastAsia"/>
                <w:sz w:val="24"/>
                <w:szCs w:val="24"/>
              </w:rPr>
              <w:t>配套主要课程或教育培养环节、措施</w:t>
            </w:r>
          </w:p>
        </w:tc>
      </w:tr>
      <w:tr w:rsidR="005C7064">
        <w:trPr>
          <w:trHeight w:val="20"/>
          <w:jc w:val="center"/>
        </w:trPr>
        <w:tc>
          <w:tcPr>
            <w:tcW w:w="430" w:type="dxa"/>
            <w:vMerge w:val="restart"/>
            <w:vAlign w:val="center"/>
          </w:tcPr>
          <w:p w:rsidR="005C7064" w:rsidRDefault="00CA6BF1">
            <w:pPr>
              <w:adjustRightInd w:val="0"/>
              <w:snapToGrid w:val="0"/>
              <w:spacing w:beforeLines="10" w:before="24" w:afterLines="10" w:after="24"/>
              <w:jc w:val="center"/>
              <w:rPr>
                <w:rFonts w:ascii="仿宋_GB2312" w:eastAsia="仿宋_GB2312" w:hAnsiTheme="minorHAnsi" w:cstheme="minorBidi"/>
                <w:sz w:val="24"/>
                <w:szCs w:val="24"/>
              </w:rPr>
            </w:pPr>
            <w:r>
              <w:rPr>
                <w:rFonts w:ascii="仿宋_GB2312" w:eastAsia="仿宋_GB2312" w:hAnsiTheme="minorHAnsi" w:cstheme="minorBidi" w:hint="eastAsia"/>
                <w:sz w:val="24"/>
                <w:szCs w:val="24"/>
              </w:rPr>
              <w:t>知识要求</w:t>
            </w:r>
          </w:p>
        </w:tc>
        <w:tc>
          <w:tcPr>
            <w:tcW w:w="555" w:type="dxa"/>
            <w:vMerge w:val="restart"/>
            <w:vAlign w:val="center"/>
          </w:tcPr>
          <w:p w:rsidR="005C7064" w:rsidRDefault="00CA6BF1">
            <w:pPr>
              <w:adjustRightInd w:val="0"/>
              <w:snapToGrid w:val="0"/>
              <w:spacing w:beforeLines="10" w:before="24" w:afterLines="10" w:after="24"/>
              <w:jc w:val="center"/>
              <w:rPr>
                <w:rFonts w:ascii="仿宋_GB2312" w:eastAsia="仿宋_GB2312" w:hAnsiTheme="minorHAnsi" w:cstheme="minorBidi"/>
                <w:sz w:val="24"/>
                <w:szCs w:val="24"/>
              </w:rPr>
            </w:pPr>
            <w:r>
              <w:rPr>
                <w:rFonts w:ascii="仿宋_GB2312" w:eastAsia="仿宋_GB2312" w:hAnsiTheme="minorHAnsi" w:cstheme="minorBidi" w:hint="eastAsia"/>
                <w:sz w:val="24"/>
                <w:szCs w:val="24"/>
              </w:rPr>
              <w:t>核心知识</w:t>
            </w: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生产质量管理知识</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管理概论、生产运作管理、质量管理</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行政人力资源管理知识</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应用文写作、企业人力资源管理、管理沟通</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市场营销管理知识</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经济学基础、市场营销实务、电子商务</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会计、财务管理知识</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会计基础与实务、财务管理</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restart"/>
            <w:vAlign w:val="center"/>
          </w:tcPr>
          <w:p w:rsidR="005C7064" w:rsidRDefault="00CA6BF1">
            <w:pPr>
              <w:adjustRightInd w:val="0"/>
              <w:snapToGrid w:val="0"/>
              <w:spacing w:beforeLines="10" w:before="24" w:afterLines="10" w:after="24"/>
              <w:jc w:val="center"/>
              <w:rPr>
                <w:rFonts w:ascii="仿宋_GB2312" w:eastAsia="仿宋_GB2312" w:hAnsiTheme="minorHAnsi" w:cstheme="minorBidi"/>
                <w:sz w:val="24"/>
                <w:szCs w:val="24"/>
              </w:rPr>
            </w:pPr>
            <w:r>
              <w:rPr>
                <w:rFonts w:ascii="仿宋_GB2312" w:eastAsia="仿宋_GB2312" w:hAnsiTheme="minorHAnsi" w:cstheme="minorBidi" w:hint="eastAsia"/>
                <w:sz w:val="24"/>
                <w:szCs w:val="24"/>
              </w:rPr>
              <w:t>相关知识</w:t>
            </w: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自然科学知识</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经济应用数学等</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人文、外语及管理知识</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人文、历史、哲学、艺术、英语、企业管理等</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社会发展相关领域知识</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形势与政策、大学生就业力促进与职业发展、行业认知等</w:t>
            </w:r>
          </w:p>
        </w:tc>
      </w:tr>
      <w:tr w:rsidR="005C7064">
        <w:trPr>
          <w:trHeight w:val="20"/>
          <w:jc w:val="center"/>
        </w:trPr>
        <w:tc>
          <w:tcPr>
            <w:tcW w:w="430" w:type="dxa"/>
            <w:vMerge w:val="restart"/>
            <w:vAlign w:val="center"/>
          </w:tcPr>
          <w:p w:rsidR="005C7064" w:rsidRDefault="00CA6BF1">
            <w:pPr>
              <w:adjustRightInd w:val="0"/>
              <w:snapToGrid w:val="0"/>
              <w:spacing w:beforeLines="10" w:before="24" w:afterLines="10" w:after="24"/>
              <w:jc w:val="center"/>
              <w:rPr>
                <w:rFonts w:ascii="仿宋_GB2312" w:eastAsia="仿宋_GB2312" w:hAnsiTheme="minorHAnsi" w:cstheme="minorBidi"/>
                <w:sz w:val="24"/>
                <w:szCs w:val="24"/>
              </w:rPr>
            </w:pPr>
            <w:r>
              <w:rPr>
                <w:rFonts w:ascii="仿宋_GB2312" w:eastAsia="仿宋_GB2312" w:hAnsiTheme="minorHAnsi" w:cstheme="minorBidi" w:hint="eastAsia"/>
                <w:sz w:val="24"/>
                <w:szCs w:val="24"/>
              </w:rPr>
              <w:t>能力要求</w:t>
            </w:r>
          </w:p>
        </w:tc>
        <w:tc>
          <w:tcPr>
            <w:tcW w:w="555" w:type="dxa"/>
            <w:vMerge w:val="restart"/>
            <w:vAlign w:val="center"/>
          </w:tcPr>
          <w:p w:rsidR="005C7064" w:rsidRDefault="00CA6BF1">
            <w:pPr>
              <w:adjustRightInd w:val="0"/>
              <w:snapToGrid w:val="0"/>
              <w:spacing w:beforeLines="10" w:before="24" w:afterLines="10" w:after="24"/>
              <w:jc w:val="center"/>
              <w:rPr>
                <w:rFonts w:ascii="仿宋_GB2312" w:eastAsia="仿宋_GB2312" w:hAnsiTheme="minorHAnsi" w:cstheme="minorBidi"/>
                <w:sz w:val="24"/>
                <w:szCs w:val="24"/>
              </w:rPr>
            </w:pPr>
            <w:r>
              <w:rPr>
                <w:rFonts w:ascii="仿宋_GB2312" w:eastAsia="仿宋_GB2312" w:hAnsiTheme="minorHAnsi" w:cstheme="minorBidi" w:hint="eastAsia"/>
                <w:sz w:val="24"/>
                <w:szCs w:val="24"/>
              </w:rPr>
              <w:t>核心能力</w:t>
            </w: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生产质量管理能力</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生产与运作管理、质量管理</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行政人力资源管理能力</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企业人力资源管理、管理沟通</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市场营销管理能力</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市场营销实务、电子商务、消费心理学、企业推销实务</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企业管理能力</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企业战略管理、组织行为学、企业创新管理、</w:t>
            </w:r>
            <w:r>
              <w:rPr>
                <w:rFonts w:ascii="仿宋_GB2312" w:eastAsia="仿宋_GB2312" w:hAnsiTheme="minorHAnsi" w:cstheme="minorBidi" w:hint="eastAsia"/>
                <w:color w:val="000000" w:themeColor="text1"/>
                <w:sz w:val="24"/>
                <w:szCs w:val="24"/>
              </w:rPr>
              <w:t>企业运营管理</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restart"/>
            <w:vAlign w:val="center"/>
          </w:tcPr>
          <w:p w:rsidR="005C7064" w:rsidRDefault="00CA6BF1">
            <w:pPr>
              <w:adjustRightInd w:val="0"/>
              <w:snapToGrid w:val="0"/>
              <w:spacing w:beforeLines="10" w:before="24" w:afterLines="10" w:after="24"/>
              <w:jc w:val="center"/>
              <w:rPr>
                <w:rFonts w:ascii="仿宋_GB2312" w:eastAsia="仿宋_GB2312" w:hAnsiTheme="minorHAnsi" w:cstheme="minorBidi"/>
                <w:sz w:val="24"/>
                <w:szCs w:val="24"/>
              </w:rPr>
            </w:pPr>
            <w:r>
              <w:rPr>
                <w:rFonts w:ascii="仿宋_GB2312" w:eastAsia="仿宋_GB2312" w:hAnsiTheme="minorHAnsi" w:cstheme="minorBidi" w:hint="eastAsia"/>
                <w:sz w:val="24"/>
                <w:szCs w:val="24"/>
              </w:rPr>
              <w:t>其</w:t>
            </w:r>
            <w:r>
              <w:rPr>
                <w:rFonts w:ascii="仿宋_GB2312" w:eastAsia="仿宋_GB2312" w:hAnsiTheme="minorHAnsi" w:cstheme="minorBidi" w:hint="eastAsia"/>
                <w:sz w:val="24"/>
                <w:szCs w:val="24"/>
              </w:rPr>
              <w:lastRenderedPageBreak/>
              <w:t>它能力</w:t>
            </w: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lastRenderedPageBreak/>
              <w:t>学习能力</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专业与行业、理论与实践、课内与课外、通识与个性</w:t>
            </w:r>
            <w:r>
              <w:rPr>
                <w:rFonts w:ascii="仿宋_GB2312" w:eastAsia="仿宋_GB2312" w:hAnsiTheme="minorHAnsi" w:cstheme="minorBidi" w:hint="eastAsia"/>
                <w:sz w:val="24"/>
                <w:szCs w:val="24"/>
              </w:rPr>
              <w:lastRenderedPageBreak/>
              <w:t>相结合的体系</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创新能力</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机械创新设计、开放性实验、创新社团、行业特色课程、毕业设计等</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实践能力</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课程实验、技能实训、工程实践、企业联合培养实践环节等</w:t>
            </w:r>
          </w:p>
        </w:tc>
      </w:tr>
      <w:tr w:rsidR="005C7064">
        <w:trPr>
          <w:trHeight w:val="20"/>
          <w:jc w:val="center"/>
        </w:trPr>
        <w:tc>
          <w:tcPr>
            <w:tcW w:w="430"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555" w:type="dxa"/>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沟通能力</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贯穿于课堂互动、团体项目合作、社会实践、专业实践实训等环节，包括外语学习与运用</w:t>
            </w:r>
          </w:p>
        </w:tc>
      </w:tr>
      <w:tr w:rsidR="005C7064">
        <w:trPr>
          <w:trHeight w:val="20"/>
          <w:jc w:val="center"/>
        </w:trPr>
        <w:tc>
          <w:tcPr>
            <w:tcW w:w="985" w:type="dxa"/>
            <w:gridSpan w:val="2"/>
            <w:vMerge w:val="restart"/>
            <w:vAlign w:val="center"/>
          </w:tcPr>
          <w:p w:rsidR="005C7064" w:rsidRDefault="00CA6BF1">
            <w:pPr>
              <w:adjustRightInd w:val="0"/>
              <w:snapToGrid w:val="0"/>
              <w:spacing w:beforeLines="10" w:before="24" w:afterLines="10" w:after="24"/>
              <w:jc w:val="center"/>
              <w:rPr>
                <w:rFonts w:ascii="仿宋_GB2312" w:eastAsia="仿宋_GB2312" w:hAnsiTheme="minorHAnsi" w:cstheme="minorBidi"/>
                <w:sz w:val="24"/>
                <w:szCs w:val="24"/>
              </w:rPr>
            </w:pPr>
            <w:r>
              <w:rPr>
                <w:rFonts w:ascii="仿宋_GB2312" w:eastAsia="仿宋_GB2312" w:hAnsiTheme="minorHAnsi" w:cstheme="minorBidi" w:hint="eastAsia"/>
                <w:sz w:val="24"/>
                <w:szCs w:val="24"/>
              </w:rPr>
              <w:t>素质</w:t>
            </w:r>
            <w:r>
              <w:rPr>
                <w:rFonts w:ascii="仿宋_GB2312" w:eastAsia="仿宋_GB2312" w:hAnsiTheme="minorHAnsi" w:cstheme="minorBidi" w:hint="eastAsia"/>
                <w:sz w:val="24"/>
                <w:szCs w:val="24"/>
              </w:rPr>
              <w:t xml:space="preserve"> </w:t>
            </w:r>
            <w:r>
              <w:rPr>
                <w:rFonts w:ascii="仿宋_GB2312" w:eastAsia="仿宋_GB2312" w:hAnsiTheme="minorHAnsi" w:cstheme="minorBidi" w:hint="eastAsia"/>
                <w:sz w:val="24"/>
                <w:szCs w:val="24"/>
              </w:rPr>
              <w:t xml:space="preserve"> </w:t>
            </w:r>
            <w:r>
              <w:rPr>
                <w:rFonts w:ascii="仿宋_GB2312" w:eastAsia="仿宋_GB2312" w:hAnsiTheme="minorHAnsi" w:cstheme="minorBidi" w:hint="eastAsia"/>
                <w:sz w:val="24"/>
                <w:szCs w:val="24"/>
              </w:rPr>
              <w:t>要求</w:t>
            </w: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身体素质</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基础体育、选项体育等</w:t>
            </w:r>
          </w:p>
        </w:tc>
      </w:tr>
      <w:tr w:rsidR="005C7064">
        <w:trPr>
          <w:trHeight w:val="20"/>
          <w:jc w:val="center"/>
        </w:trPr>
        <w:tc>
          <w:tcPr>
            <w:tcW w:w="985" w:type="dxa"/>
            <w:gridSpan w:val="2"/>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心理素质</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思想道德修养与法律基础、大学生心理健康教育、社会实践活动等</w:t>
            </w:r>
          </w:p>
        </w:tc>
      </w:tr>
      <w:tr w:rsidR="005C7064">
        <w:trPr>
          <w:trHeight w:val="20"/>
          <w:jc w:val="center"/>
        </w:trPr>
        <w:tc>
          <w:tcPr>
            <w:tcW w:w="985" w:type="dxa"/>
            <w:gridSpan w:val="2"/>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文化素质</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大学生人文基础、艺术类选修、课外文化活动等</w:t>
            </w:r>
          </w:p>
        </w:tc>
      </w:tr>
      <w:tr w:rsidR="005C7064">
        <w:trPr>
          <w:trHeight w:val="20"/>
          <w:jc w:val="center"/>
        </w:trPr>
        <w:tc>
          <w:tcPr>
            <w:tcW w:w="985" w:type="dxa"/>
            <w:gridSpan w:val="2"/>
            <w:vMerge/>
            <w:vAlign w:val="center"/>
          </w:tcPr>
          <w:p w:rsidR="005C7064" w:rsidRDefault="005C7064">
            <w:pPr>
              <w:adjustRightInd w:val="0"/>
              <w:snapToGrid w:val="0"/>
              <w:spacing w:beforeLines="10" w:before="24" w:afterLines="10" w:after="24"/>
              <w:jc w:val="center"/>
              <w:rPr>
                <w:rFonts w:ascii="仿宋_GB2312" w:eastAsia="仿宋_GB2312" w:hAnsiTheme="minorHAnsi" w:cstheme="minorBidi"/>
                <w:sz w:val="24"/>
                <w:szCs w:val="24"/>
              </w:rPr>
            </w:pPr>
          </w:p>
        </w:tc>
        <w:tc>
          <w:tcPr>
            <w:tcW w:w="2667"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r>
              <w:rPr>
                <w:rFonts w:ascii="仿宋_GB2312" w:eastAsia="仿宋_GB2312" w:hAnsiTheme="minorHAnsi" w:cstheme="minorBidi" w:hint="eastAsia"/>
                <w:sz w:val="24"/>
                <w:szCs w:val="24"/>
              </w:rPr>
              <w:t>守时、守信、守志、严谨、精细的工匠精神</w:t>
            </w:r>
          </w:p>
        </w:tc>
        <w:tc>
          <w:tcPr>
            <w:tcW w:w="5812" w:type="dxa"/>
            <w:vAlign w:val="center"/>
          </w:tcPr>
          <w:p w:rsidR="005C7064" w:rsidRDefault="00CA6BF1">
            <w:pPr>
              <w:adjustRightInd w:val="0"/>
              <w:snapToGrid w:val="0"/>
              <w:spacing w:beforeLines="10" w:before="24" w:afterLines="10" w:after="24"/>
              <w:jc w:val="left"/>
              <w:rPr>
                <w:rFonts w:ascii="仿宋_GB2312" w:eastAsia="仿宋_GB2312" w:hAnsiTheme="minorHAnsi" w:cstheme="minorBidi"/>
                <w:sz w:val="24"/>
                <w:szCs w:val="24"/>
              </w:rPr>
            </w:pPr>
            <w:proofErr w:type="gramStart"/>
            <w:r>
              <w:rPr>
                <w:rFonts w:ascii="仿宋_GB2312" w:eastAsia="仿宋_GB2312" w:hAnsiTheme="minorHAnsi" w:cstheme="minorBidi" w:hint="eastAsia"/>
                <w:sz w:val="24"/>
                <w:szCs w:val="24"/>
              </w:rPr>
              <w:t>思政理论</w:t>
            </w:r>
            <w:proofErr w:type="gramEnd"/>
            <w:r>
              <w:rPr>
                <w:rFonts w:ascii="仿宋_GB2312" w:eastAsia="仿宋_GB2312" w:hAnsiTheme="minorHAnsi" w:cstheme="minorBidi" w:hint="eastAsia"/>
                <w:sz w:val="24"/>
                <w:szCs w:val="24"/>
              </w:rPr>
              <w:t>系列课程、团体活动等</w:t>
            </w:r>
          </w:p>
        </w:tc>
      </w:tr>
    </w:tbl>
    <w:p w:rsidR="005C7064" w:rsidRDefault="005C7064">
      <w:pPr>
        <w:adjustRightInd w:val="0"/>
        <w:snapToGrid w:val="0"/>
        <w:ind w:firstLineChars="250" w:firstLine="600"/>
        <w:jc w:val="left"/>
        <w:rPr>
          <w:rFonts w:ascii="黑体" w:eastAsia="黑体" w:hAnsi="黑体"/>
          <w:sz w:val="24"/>
          <w:szCs w:val="24"/>
        </w:rPr>
      </w:pPr>
    </w:p>
    <w:p w:rsidR="005C7064" w:rsidRDefault="00CA6BF1">
      <w:pPr>
        <w:adjustRightInd w:val="0"/>
        <w:snapToGrid w:val="0"/>
        <w:ind w:firstLineChars="250" w:firstLine="600"/>
        <w:jc w:val="left"/>
        <w:rPr>
          <w:rFonts w:ascii="黑体" w:eastAsia="黑体" w:hAnsi="黑体"/>
          <w:sz w:val="24"/>
          <w:szCs w:val="24"/>
        </w:rPr>
      </w:pPr>
      <w:r>
        <w:rPr>
          <w:rFonts w:ascii="黑体" w:eastAsia="黑体" w:hAnsi="黑体" w:hint="eastAsia"/>
          <w:sz w:val="24"/>
          <w:szCs w:val="24"/>
        </w:rPr>
        <w:t>六、毕业资格与要求</w:t>
      </w:r>
    </w:p>
    <w:p w:rsidR="005C7064" w:rsidRDefault="00CA6BF1">
      <w:pPr>
        <w:adjustRightInd w:val="0"/>
        <w:snapToGrid w:val="0"/>
        <w:ind w:firstLineChars="200" w:firstLine="482"/>
        <w:rPr>
          <w:rFonts w:ascii="仿宋" w:eastAsia="仿宋" w:hAnsi="仿宋" w:cs="仿宋"/>
          <w:b/>
          <w:sz w:val="24"/>
          <w:szCs w:val="24"/>
        </w:rPr>
      </w:pPr>
      <w:r>
        <w:rPr>
          <w:rFonts w:ascii="仿宋" w:eastAsia="仿宋" w:hAnsi="仿宋" w:cs="仿宋" w:hint="eastAsia"/>
          <w:b/>
          <w:sz w:val="24"/>
          <w:szCs w:val="24"/>
        </w:rPr>
        <w:t>（一）毕业学分要求</w:t>
      </w:r>
    </w:p>
    <w:p w:rsidR="005C7064" w:rsidRDefault="00CA6BF1">
      <w:pPr>
        <w:adjustRightInd w:val="0"/>
        <w:snapToGrid w:val="0"/>
        <w:jc w:val="center"/>
        <w:rPr>
          <w:rFonts w:ascii="仿宋" w:eastAsia="仿宋" w:hAnsi="仿宋" w:cs="仿宋"/>
          <w:b/>
          <w:sz w:val="24"/>
          <w:szCs w:val="24"/>
        </w:rPr>
      </w:pPr>
      <w:r>
        <w:rPr>
          <w:rFonts w:ascii="仿宋" w:eastAsia="仿宋" w:hAnsi="仿宋" w:cs="仿宋" w:hint="eastAsia"/>
          <w:sz w:val="24"/>
          <w:szCs w:val="24"/>
        </w:rPr>
        <w:t>表</w:t>
      </w:r>
      <w:r>
        <w:rPr>
          <w:rFonts w:ascii="仿宋" w:eastAsia="仿宋" w:hAnsi="仿宋" w:cs="仿宋" w:hint="eastAsia"/>
          <w:sz w:val="24"/>
          <w:szCs w:val="24"/>
        </w:rPr>
        <w:t xml:space="preserve">4 </w:t>
      </w:r>
      <w:r>
        <w:rPr>
          <w:rFonts w:ascii="仿宋" w:eastAsia="仿宋" w:hAnsi="仿宋" w:cs="仿宋" w:hint="eastAsia"/>
          <w:sz w:val="24"/>
          <w:szCs w:val="24"/>
        </w:rPr>
        <w:t>毕业资格学分要求</w:t>
      </w:r>
    </w:p>
    <w:tbl>
      <w:tblPr>
        <w:tblW w:w="8973" w:type="dxa"/>
        <w:jc w:val="center"/>
        <w:tblLayout w:type="fixed"/>
        <w:tblLook w:val="04A0" w:firstRow="1" w:lastRow="0" w:firstColumn="1" w:lastColumn="0" w:noHBand="0" w:noVBand="1"/>
      </w:tblPr>
      <w:tblGrid>
        <w:gridCol w:w="1645"/>
        <w:gridCol w:w="1592"/>
        <w:gridCol w:w="3629"/>
        <w:gridCol w:w="2107"/>
      </w:tblGrid>
      <w:tr w:rsidR="005C7064">
        <w:trPr>
          <w:trHeight w:val="20"/>
          <w:tblHeader/>
          <w:jc w:val="center"/>
        </w:trPr>
        <w:tc>
          <w:tcPr>
            <w:tcW w:w="1645" w:type="dxa"/>
            <w:tcBorders>
              <w:top w:val="single" w:sz="4" w:space="0" w:color="auto"/>
              <w:left w:val="single" w:sz="4" w:space="0" w:color="auto"/>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b/>
                <w:color w:val="000000"/>
                <w:kern w:val="0"/>
                <w:sz w:val="24"/>
                <w:szCs w:val="24"/>
              </w:rPr>
            </w:pPr>
            <w:r>
              <w:rPr>
                <w:rFonts w:ascii="仿宋" w:eastAsia="仿宋" w:hAnsi="仿宋" w:cs="仿宋" w:hint="eastAsia"/>
                <w:b/>
                <w:color w:val="000000"/>
                <w:kern w:val="0"/>
                <w:sz w:val="24"/>
                <w:szCs w:val="24"/>
              </w:rPr>
              <w:t>课程属性</w:t>
            </w:r>
          </w:p>
        </w:tc>
        <w:tc>
          <w:tcPr>
            <w:tcW w:w="1592" w:type="dxa"/>
            <w:tcBorders>
              <w:top w:val="single" w:sz="4" w:space="0" w:color="auto"/>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b/>
                <w:color w:val="000000"/>
                <w:kern w:val="0"/>
                <w:sz w:val="24"/>
                <w:szCs w:val="24"/>
              </w:rPr>
            </w:pPr>
            <w:r>
              <w:rPr>
                <w:rFonts w:ascii="仿宋" w:eastAsia="仿宋" w:hAnsi="仿宋" w:cs="仿宋" w:hint="eastAsia"/>
                <w:b/>
                <w:color w:val="000000"/>
                <w:kern w:val="0"/>
                <w:sz w:val="24"/>
                <w:szCs w:val="24"/>
              </w:rPr>
              <w:t>课程类型</w:t>
            </w:r>
          </w:p>
        </w:tc>
        <w:tc>
          <w:tcPr>
            <w:tcW w:w="3629" w:type="dxa"/>
            <w:tcBorders>
              <w:top w:val="single" w:sz="4" w:space="0" w:color="auto"/>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b/>
                <w:color w:val="000000"/>
                <w:kern w:val="0"/>
                <w:sz w:val="24"/>
                <w:szCs w:val="24"/>
              </w:rPr>
            </w:pPr>
            <w:r>
              <w:rPr>
                <w:rFonts w:ascii="仿宋" w:eastAsia="仿宋" w:hAnsi="仿宋" w:cs="仿宋" w:hint="eastAsia"/>
                <w:b/>
                <w:color w:val="000000"/>
                <w:kern w:val="0"/>
                <w:sz w:val="24"/>
                <w:szCs w:val="24"/>
              </w:rPr>
              <w:t>课程性质及类别</w:t>
            </w:r>
          </w:p>
        </w:tc>
        <w:tc>
          <w:tcPr>
            <w:tcW w:w="2107" w:type="dxa"/>
            <w:tcBorders>
              <w:top w:val="single" w:sz="4" w:space="0" w:color="auto"/>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b/>
                <w:color w:val="000000"/>
                <w:kern w:val="0"/>
                <w:sz w:val="24"/>
                <w:szCs w:val="24"/>
              </w:rPr>
            </w:pPr>
            <w:r>
              <w:rPr>
                <w:rFonts w:ascii="仿宋" w:eastAsia="仿宋" w:hAnsi="仿宋" w:cs="仿宋" w:hint="eastAsia"/>
                <w:b/>
                <w:color w:val="000000"/>
                <w:kern w:val="0"/>
                <w:sz w:val="24"/>
                <w:szCs w:val="24"/>
              </w:rPr>
              <w:t>学分要求</w:t>
            </w:r>
          </w:p>
        </w:tc>
      </w:tr>
      <w:tr w:rsidR="005C7064">
        <w:trPr>
          <w:trHeight w:val="20"/>
          <w:jc w:val="center"/>
        </w:trPr>
        <w:tc>
          <w:tcPr>
            <w:tcW w:w="1645" w:type="dxa"/>
            <w:vMerge w:val="restart"/>
            <w:tcBorders>
              <w:top w:val="nil"/>
              <w:left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第一课堂</w:t>
            </w:r>
          </w:p>
        </w:tc>
        <w:tc>
          <w:tcPr>
            <w:tcW w:w="1592" w:type="dxa"/>
            <w:vMerge w:val="restart"/>
            <w:tcBorders>
              <w:top w:val="single" w:sz="4" w:space="0" w:color="auto"/>
              <w:left w:val="single" w:sz="4" w:space="0" w:color="auto"/>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公共课</w:t>
            </w:r>
          </w:p>
        </w:tc>
        <w:tc>
          <w:tcPr>
            <w:tcW w:w="3629" w:type="dxa"/>
            <w:tcBorders>
              <w:top w:val="single" w:sz="4" w:space="0" w:color="auto"/>
              <w:left w:val="single" w:sz="4" w:space="0" w:color="auto"/>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公共必修课</w:t>
            </w:r>
          </w:p>
        </w:tc>
        <w:tc>
          <w:tcPr>
            <w:tcW w:w="2107" w:type="dxa"/>
            <w:tcBorders>
              <w:top w:val="nil"/>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32</w:t>
            </w:r>
          </w:p>
        </w:tc>
      </w:tr>
      <w:tr w:rsidR="005C7064">
        <w:trPr>
          <w:trHeight w:val="20"/>
          <w:jc w:val="center"/>
        </w:trPr>
        <w:tc>
          <w:tcPr>
            <w:tcW w:w="1645" w:type="dxa"/>
            <w:vMerge/>
            <w:tcBorders>
              <w:left w:val="single" w:sz="4" w:space="0" w:color="auto"/>
              <w:right w:val="single" w:sz="4" w:space="0" w:color="auto"/>
            </w:tcBorders>
            <w:vAlign w:val="center"/>
          </w:tcPr>
          <w:p w:rsidR="005C7064" w:rsidRDefault="005C7064">
            <w:pPr>
              <w:widowControl/>
              <w:adjustRightInd w:val="0"/>
              <w:snapToGrid w:val="0"/>
              <w:jc w:val="center"/>
              <w:rPr>
                <w:rFonts w:ascii="仿宋" w:eastAsia="仿宋" w:hAnsi="仿宋" w:cs="仿宋"/>
                <w:color w:val="000000"/>
                <w:kern w:val="0"/>
                <w:sz w:val="24"/>
                <w:szCs w:val="24"/>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5C7064" w:rsidRDefault="005C7064">
            <w:pPr>
              <w:widowControl/>
              <w:adjustRightInd w:val="0"/>
              <w:snapToGrid w:val="0"/>
              <w:jc w:val="center"/>
              <w:rPr>
                <w:rFonts w:ascii="仿宋" w:eastAsia="仿宋" w:hAnsi="仿宋" w:cs="仿宋"/>
                <w:color w:val="000000"/>
                <w:kern w:val="0"/>
                <w:sz w:val="24"/>
                <w:szCs w:val="24"/>
              </w:rPr>
            </w:pPr>
          </w:p>
        </w:tc>
        <w:tc>
          <w:tcPr>
            <w:tcW w:w="3629" w:type="dxa"/>
            <w:tcBorders>
              <w:top w:val="single" w:sz="4" w:space="0" w:color="auto"/>
              <w:left w:val="single" w:sz="4" w:space="0" w:color="auto"/>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公共任选修课</w:t>
            </w:r>
          </w:p>
        </w:tc>
        <w:tc>
          <w:tcPr>
            <w:tcW w:w="2107" w:type="dxa"/>
            <w:tcBorders>
              <w:top w:val="nil"/>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8</w:t>
            </w:r>
          </w:p>
        </w:tc>
      </w:tr>
      <w:tr w:rsidR="005C7064">
        <w:trPr>
          <w:trHeight w:val="20"/>
          <w:jc w:val="center"/>
        </w:trPr>
        <w:tc>
          <w:tcPr>
            <w:tcW w:w="1645" w:type="dxa"/>
            <w:vMerge/>
            <w:tcBorders>
              <w:left w:val="single" w:sz="4" w:space="0" w:color="auto"/>
              <w:right w:val="single" w:sz="4" w:space="0" w:color="auto"/>
            </w:tcBorders>
            <w:vAlign w:val="center"/>
          </w:tcPr>
          <w:p w:rsidR="005C7064" w:rsidRDefault="005C7064">
            <w:pPr>
              <w:widowControl/>
              <w:adjustRightInd w:val="0"/>
              <w:snapToGrid w:val="0"/>
              <w:jc w:val="center"/>
              <w:rPr>
                <w:rFonts w:ascii="仿宋" w:eastAsia="仿宋" w:hAnsi="仿宋" w:cs="仿宋"/>
                <w:color w:val="000000"/>
                <w:kern w:val="0"/>
                <w:sz w:val="24"/>
                <w:szCs w:val="24"/>
              </w:rPr>
            </w:pPr>
          </w:p>
        </w:tc>
        <w:tc>
          <w:tcPr>
            <w:tcW w:w="1592" w:type="dxa"/>
            <w:vMerge w:val="restart"/>
            <w:tcBorders>
              <w:top w:val="single" w:sz="4" w:space="0" w:color="auto"/>
              <w:left w:val="single" w:sz="4" w:space="0" w:color="auto"/>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专业课</w:t>
            </w:r>
          </w:p>
        </w:tc>
        <w:tc>
          <w:tcPr>
            <w:tcW w:w="3629" w:type="dxa"/>
            <w:tcBorders>
              <w:top w:val="single" w:sz="4" w:space="0" w:color="auto"/>
              <w:left w:val="single" w:sz="4" w:space="0" w:color="auto"/>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专业必修课</w:t>
            </w:r>
          </w:p>
        </w:tc>
        <w:tc>
          <w:tcPr>
            <w:tcW w:w="2107" w:type="dxa"/>
            <w:tcBorders>
              <w:top w:val="nil"/>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81</w:t>
            </w:r>
          </w:p>
        </w:tc>
      </w:tr>
      <w:tr w:rsidR="005C7064">
        <w:trPr>
          <w:trHeight w:val="20"/>
          <w:jc w:val="center"/>
        </w:trPr>
        <w:tc>
          <w:tcPr>
            <w:tcW w:w="1645" w:type="dxa"/>
            <w:vMerge/>
            <w:tcBorders>
              <w:left w:val="single" w:sz="4" w:space="0" w:color="auto"/>
              <w:bottom w:val="single" w:sz="4" w:space="0" w:color="auto"/>
              <w:right w:val="single" w:sz="4" w:space="0" w:color="auto"/>
            </w:tcBorders>
            <w:vAlign w:val="center"/>
          </w:tcPr>
          <w:p w:rsidR="005C7064" w:rsidRDefault="005C7064">
            <w:pPr>
              <w:widowControl/>
              <w:adjustRightInd w:val="0"/>
              <w:snapToGrid w:val="0"/>
              <w:jc w:val="center"/>
              <w:rPr>
                <w:rFonts w:ascii="仿宋" w:eastAsia="仿宋" w:hAnsi="仿宋" w:cs="仿宋"/>
                <w:color w:val="000000"/>
                <w:kern w:val="0"/>
                <w:sz w:val="24"/>
                <w:szCs w:val="24"/>
              </w:rPr>
            </w:pPr>
          </w:p>
        </w:tc>
        <w:tc>
          <w:tcPr>
            <w:tcW w:w="1592" w:type="dxa"/>
            <w:vMerge/>
            <w:tcBorders>
              <w:left w:val="single" w:sz="4" w:space="0" w:color="auto"/>
              <w:bottom w:val="single" w:sz="4" w:space="0" w:color="auto"/>
              <w:right w:val="single" w:sz="4" w:space="0" w:color="auto"/>
            </w:tcBorders>
            <w:vAlign w:val="center"/>
          </w:tcPr>
          <w:p w:rsidR="005C7064" w:rsidRDefault="005C7064">
            <w:pPr>
              <w:widowControl/>
              <w:adjustRightInd w:val="0"/>
              <w:snapToGrid w:val="0"/>
              <w:jc w:val="center"/>
              <w:rPr>
                <w:rFonts w:ascii="仿宋" w:eastAsia="仿宋" w:hAnsi="仿宋" w:cs="仿宋"/>
                <w:color w:val="000000"/>
                <w:kern w:val="0"/>
                <w:sz w:val="24"/>
                <w:szCs w:val="24"/>
              </w:rPr>
            </w:pPr>
          </w:p>
        </w:tc>
        <w:tc>
          <w:tcPr>
            <w:tcW w:w="3629" w:type="dxa"/>
            <w:tcBorders>
              <w:top w:val="nil"/>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专业选修课</w:t>
            </w:r>
          </w:p>
        </w:tc>
        <w:tc>
          <w:tcPr>
            <w:tcW w:w="2107" w:type="dxa"/>
            <w:tcBorders>
              <w:top w:val="nil"/>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17</w:t>
            </w:r>
          </w:p>
        </w:tc>
      </w:tr>
      <w:tr w:rsidR="005C7064">
        <w:trPr>
          <w:trHeight w:val="20"/>
          <w:jc w:val="center"/>
        </w:trPr>
        <w:tc>
          <w:tcPr>
            <w:tcW w:w="1645" w:type="dxa"/>
            <w:tcBorders>
              <w:top w:val="nil"/>
              <w:left w:val="single" w:sz="4" w:space="0" w:color="auto"/>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第二课堂</w:t>
            </w:r>
          </w:p>
        </w:tc>
        <w:tc>
          <w:tcPr>
            <w:tcW w:w="5221" w:type="dxa"/>
            <w:gridSpan w:val="2"/>
            <w:tcBorders>
              <w:top w:val="nil"/>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第二课堂</w:t>
            </w:r>
          </w:p>
        </w:tc>
        <w:tc>
          <w:tcPr>
            <w:tcW w:w="2107" w:type="dxa"/>
            <w:tcBorders>
              <w:top w:val="nil"/>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0</w:t>
            </w:r>
          </w:p>
        </w:tc>
      </w:tr>
      <w:tr w:rsidR="005C7064">
        <w:trPr>
          <w:trHeight w:val="20"/>
          <w:jc w:val="center"/>
        </w:trPr>
        <w:tc>
          <w:tcPr>
            <w:tcW w:w="1645" w:type="dxa"/>
            <w:tcBorders>
              <w:top w:val="single" w:sz="4" w:space="0" w:color="auto"/>
              <w:left w:val="single" w:sz="4" w:space="0" w:color="auto"/>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第三课堂</w:t>
            </w:r>
          </w:p>
        </w:tc>
        <w:tc>
          <w:tcPr>
            <w:tcW w:w="5221" w:type="dxa"/>
            <w:gridSpan w:val="2"/>
            <w:tcBorders>
              <w:top w:val="single" w:sz="4" w:space="0" w:color="auto"/>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第三课堂</w:t>
            </w:r>
          </w:p>
        </w:tc>
        <w:tc>
          <w:tcPr>
            <w:tcW w:w="2107" w:type="dxa"/>
            <w:tcBorders>
              <w:top w:val="single" w:sz="4" w:space="0" w:color="auto"/>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6</w:t>
            </w:r>
          </w:p>
        </w:tc>
      </w:tr>
      <w:tr w:rsidR="005C7064">
        <w:trPr>
          <w:trHeight w:val="20"/>
          <w:jc w:val="center"/>
        </w:trPr>
        <w:tc>
          <w:tcPr>
            <w:tcW w:w="6866" w:type="dxa"/>
            <w:gridSpan w:val="3"/>
            <w:tcBorders>
              <w:top w:val="single" w:sz="4" w:space="0" w:color="auto"/>
              <w:left w:val="single" w:sz="4" w:space="0" w:color="auto"/>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b/>
                <w:color w:val="000000"/>
                <w:kern w:val="0"/>
                <w:sz w:val="24"/>
                <w:szCs w:val="24"/>
              </w:rPr>
            </w:pPr>
            <w:r>
              <w:rPr>
                <w:rFonts w:ascii="仿宋" w:eastAsia="仿宋" w:hAnsi="仿宋" w:cs="仿宋" w:hint="eastAsia"/>
                <w:b/>
                <w:color w:val="000000"/>
                <w:kern w:val="0"/>
                <w:sz w:val="24"/>
                <w:szCs w:val="24"/>
              </w:rPr>
              <w:t>合</w:t>
            </w:r>
            <w:r>
              <w:rPr>
                <w:rFonts w:ascii="仿宋" w:eastAsia="仿宋" w:hAnsi="仿宋" w:cs="仿宋" w:hint="eastAsia"/>
                <w:b/>
                <w:color w:val="000000"/>
                <w:kern w:val="0"/>
                <w:sz w:val="24"/>
                <w:szCs w:val="24"/>
              </w:rPr>
              <w:t xml:space="preserve">  </w:t>
            </w:r>
            <w:r>
              <w:rPr>
                <w:rFonts w:ascii="仿宋" w:eastAsia="仿宋" w:hAnsi="仿宋" w:cs="仿宋" w:hint="eastAsia"/>
                <w:b/>
                <w:color w:val="000000"/>
                <w:kern w:val="0"/>
                <w:sz w:val="24"/>
                <w:szCs w:val="24"/>
              </w:rPr>
              <w:t>计</w:t>
            </w:r>
          </w:p>
        </w:tc>
        <w:tc>
          <w:tcPr>
            <w:tcW w:w="2107" w:type="dxa"/>
            <w:tcBorders>
              <w:top w:val="single" w:sz="4" w:space="0" w:color="auto"/>
              <w:left w:val="nil"/>
              <w:bottom w:val="single" w:sz="4" w:space="0" w:color="auto"/>
              <w:right w:val="single" w:sz="4" w:space="0" w:color="auto"/>
            </w:tcBorders>
            <w:vAlign w:val="center"/>
          </w:tcPr>
          <w:p w:rsidR="005C7064" w:rsidRDefault="00CA6BF1">
            <w:pPr>
              <w:widowControl/>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144</w:t>
            </w:r>
          </w:p>
        </w:tc>
      </w:tr>
    </w:tbl>
    <w:p w:rsidR="005C7064" w:rsidRDefault="00CA6BF1">
      <w:pPr>
        <w:adjustRightInd w:val="0"/>
        <w:snapToGrid w:val="0"/>
        <w:ind w:firstLineChars="200" w:firstLine="482"/>
        <w:rPr>
          <w:rFonts w:ascii="仿宋" w:eastAsia="仿宋" w:hAnsi="仿宋" w:cs="仿宋"/>
          <w:b/>
          <w:sz w:val="24"/>
          <w:szCs w:val="24"/>
        </w:rPr>
      </w:pPr>
      <w:r>
        <w:rPr>
          <w:rFonts w:ascii="仿宋" w:eastAsia="仿宋" w:hAnsi="仿宋" w:cs="仿宋" w:hint="eastAsia"/>
          <w:b/>
          <w:sz w:val="24"/>
          <w:szCs w:val="24"/>
        </w:rPr>
        <w:t>（二）职业资格证书要求</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学生毕业时必须取得以下专业证书之一或通过企业人力资源管理师校考。</w:t>
      </w:r>
    </w:p>
    <w:p w:rsidR="005C7064" w:rsidRDefault="00CA6BF1">
      <w:pPr>
        <w:adjustRightInd w:val="0"/>
        <w:snapToGrid w:val="0"/>
        <w:jc w:val="center"/>
        <w:rPr>
          <w:rFonts w:ascii="仿宋_GB2312" w:eastAsia="仿宋_GB2312"/>
          <w:b/>
          <w:sz w:val="24"/>
          <w:szCs w:val="24"/>
        </w:rPr>
      </w:pPr>
      <w:r>
        <w:rPr>
          <w:rFonts w:ascii="仿宋_GB2312" w:eastAsia="仿宋_GB2312" w:hint="eastAsia"/>
          <w:sz w:val="24"/>
          <w:szCs w:val="24"/>
        </w:rPr>
        <w:t>表</w:t>
      </w:r>
      <w:r>
        <w:rPr>
          <w:rFonts w:ascii="仿宋_GB2312" w:eastAsia="仿宋_GB2312" w:hint="eastAsia"/>
          <w:sz w:val="24"/>
          <w:szCs w:val="24"/>
        </w:rPr>
        <w:t xml:space="preserve">5  </w:t>
      </w:r>
      <w:r>
        <w:rPr>
          <w:rFonts w:ascii="仿宋_GB2312" w:eastAsia="仿宋_GB2312" w:hint="eastAsia"/>
          <w:sz w:val="24"/>
          <w:szCs w:val="24"/>
        </w:rPr>
        <w:t>工商企业管理专业职业资格证书</w:t>
      </w:r>
    </w:p>
    <w:tbl>
      <w:tblPr>
        <w:tblW w:w="8561" w:type="dxa"/>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681"/>
        <w:gridCol w:w="2598"/>
        <w:gridCol w:w="4490"/>
        <w:gridCol w:w="792"/>
      </w:tblGrid>
      <w:tr w:rsidR="005C7064">
        <w:trPr>
          <w:trHeight w:val="330"/>
          <w:tblCellSpacing w:w="0" w:type="dxa"/>
          <w:jc w:val="center"/>
        </w:trPr>
        <w:tc>
          <w:tcPr>
            <w:tcW w:w="681"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序号</w:t>
            </w:r>
          </w:p>
        </w:tc>
        <w:tc>
          <w:tcPr>
            <w:tcW w:w="2598"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证书名称</w:t>
            </w:r>
          </w:p>
        </w:tc>
        <w:tc>
          <w:tcPr>
            <w:tcW w:w="4490"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颁发部门</w:t>
            </w:r>
          </w:p>
        </w:tc>
        <w:tc>
          <w:tcPr>
            <w:tcW w:w="792"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等级</w:t>
            </w:r>
          </w:p>
        </w:tc>
      </w:tr>
      <w:tr w:rsidR="005C7064">
        <w:trPr>
          <w:trHeight w:val="330"/>
          <w:tblCellSpacing w:w="0" w:type="dxa"/>
          <w:jc w:val="center"/>
        </w:trPr>
        <w:tc>
          <w:tcPr>
            <w:tcW w:w="681"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2598"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企业人力资源管理师</w:t>
            </w:r>
          </w:p>
        </w:tc>
        <w:tc>
          <w:tcPr>
            <w:tcW w:w="4490" w:type="dxa"/>
            <w:vAlign w:val="center"/>
          </w:tcPr>
          <w:p w:rsidR="005C7064" w:rsidRDefault="00CA6BF1">
            <w:pPr>
              <w:adjustRightInd w:val="0"/>
              <w:snapToGrid w:val="0"/>
              <w:jc w:val="center"/>
              <w:rPr>
                <w:rFonts w:ascii="仿宋_GB2312" w:eastAsia="仿宋_GB2312"/>
                <w:sz w:val="24"/>
                <w:szCs w:val="24"/>
              </w:rPr>
            </w:pPr>
            <w:hyperlink r:id="rId9" w:tgtFrame="_blank" w:history="1">
              <w:r>
                <w:rPr>
                  <w:rFonts w:ascii="仿宋_GB2312" w:eastAsia="仿宋_GB2312" w:hint="eastAsia"/>
                  <w:sz w:val="24"/>
                  <w:szCs w:val="24"/>
                </w:rPr>
                <w:t>人力资源和社会保障部</w:t>
              </w:r>
            </w:hyperlink>
            <w:r>
              <w:rPr>
                <w:rFonts w:ascii="仿宋_GB2312" w:eastAsia="仿宋_GB2312" w:hint="eastAsia"/>
                <w:sz w:val="24"/>
                <w:szCs w:val="24"/>
              </w:rPr>
              <w:t>职业技能鉴定中心</w:t>
            </w:r>
          </w:p>
        </w:tc>
        <w:tc>
          <w:tcPr>
            <w:tcW w:w="792"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四级</w:t>
            </w:r>
          </w:p>
        </w:tc>
      </w:tr>
      <w:tr w:rsidR="005C7064">
        <w:trPr>
          <w:trHeight w:val="330"/>
          <w:tblCellSpacing w:w="0" w:type="dxa"/>
          <w:jc w:val="center"/>
        </w:trPr>
        <w:tc>
          <w:tcPr>
            <w:tcW w:w="681"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2</w:t>
            </w:r>
          </w:p>
        </w:tc>
        <w:tc>
          <w:tcPr>
            <w:tcW w:w="2598"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初级经济师</w:t>
            </w:r>
          </w:p>
        </w:tc>
        <w:tc>
          <w:tcPr>
            <w:tcW w:w="4490"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人力资源和社会保障部</w:t>
            </w:r>
          </w:p>
        </w:tc>
        <w:tc>
          <w:tcPr>
            <w:tcW w:w="792"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初级</w:t>
            </w:r>
          </w:p>
        </w:tc>
      </w:tr>
      <w:tr w:rsidR="005C7064">
        <w:trPr>
          <w:trHeight w:val="330"/>
          <w:tblCellSpacing w:w="0" w:type="dxa"/>
          <w:jc w:val="center"/>
        </w:trPr>
        <w:tc>
          <w:tcPr>
            <w:tcW w:w="681"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3</w:t>
            </w:r>
          </w:p>
        </w:tc>
        <w:tc>
          <w:tcPr>
            <w:tcW w:w="2598"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初级会计资格证</w:t>
            </w:r>
          </w:p>
        </w:tc>
        <w:tc>
          <w:tcPr>
            <w:tcW w:w="4490"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国家人力资源和社会保障部</w:t>
            </w:r>
          </w:p>
        </w:tc>
        <w:tc>
          <w:tcPr>
            <w:tcW w:w="792"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初级</w:t>
            </w:r>
          </w:p>
        </w:tc>
      </w:tr>
      <w:tr w:rsidR="005C7064">
        <w:trPr>
          <w:trHeight w:val="330"/>
          <w:tblCellSpacing w:w="0" w:type="dxa"/>
          <w:jc w:val="center"/>
        </w:trPr>
        <w:tc>
          <w:tcPr>
            <w:tcW w:w="681"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4</w:t>
            </w:r>
          </w:p>
        </w:tc>
        <w:tc>
          <w:tcPr>
            <w:tcW w:w="2598"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阿里巴巴跨境电商人才</w:t>
            </w:r>
          </w:p>
        </w:tc>
        <w:tc>
          <w:tcPr>
            <w:tcW w:w="4490"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阿里巴巴（中国）教育科技有限公司</w:t>
            </w:r>
          </w:p>
        </w:tc>
        <w:tc>
          <w:tcPr>
            <w:tcW w:w="792"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初级</w:t>
            </w:r>
          </w:p>
        </w:tc>
      </w:tr>
      <w:tr w:rsidR="005C7064">
        <w:trPr>
          <w:trHeight w:val="330"/>
          <w:tblCellSpacing w:w="0" w:type="dxa"/>
          <w:jc w:val="center"/>
        </w:trPr>
        <w:tc>
          <w:tcPr>
            <w:tcW w:w="681"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sz w:val="24"/>
                <w:szCs w:val="24"/>
              </w:rPr>
              <w:t>5</w:t>
            </w:r>
          </w:p>
        </w:tc>
        <w:tc>
          <w:tcPr>
            <w:tcW w:w="2598"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企业人力资源管理师</w:t>
            </w:r>
          </w:p>
        </w:tc>
        <w:tc>
          <w:tcPr>
            <w:tcW w:w="4490" w:type="dxa"/>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台州职业技术学院（校考）</w:t>
            </w:r>
          </w:p>
        </w:tc>
        <w:tc>
          <w:tcPr>
            <w:tcW w:w="792" w:type="dxa"/>
            <w:vAlign w:val="center"/>
          </w:tcPr>
          <w:p w:rsidR="005C7064" w:rsidRDefault="005C7064">
            <w:pPr>
              <w:adjustRightInd w:val="0"/>
              <w:snapToGrid w:val="0"/>
              <w:jc w:val="center"/>
              <w:rPr>
                <w:rFonts w:ascii="仿宋_GB2312" w:eastAsia="仿宋_GB2312"/>
                <w:sz w:val="24"/>
                <w:szCs w:val="24"/>
              </w:rPr>
            </w:pPr>
          </w:p>
        </w:tc>
      </w:tr>
    </w:tbl>
    <w:p w:rsidR="005C7064" w:rsidRDefault="00CA6BF1">
      <w:pPr>
        <w:adjustRightInd w:val="0"/>
        <w:snapToGrid w:val="0"/>
        <w:ind w:firstLineChars="200" w:firstLine="482"/>
        <w:rPr>
          <w:rFonts w:ascii="仿宋" w:eastAsia="仿宋" w:hAnsi="仿宋" w:cs="仿宋"/>
          <w:b/>
          <w:sz w:val="24"/>
          <w:szCs w:val="24"/>
        </w:rPr>
      </w:pPr>
      <w:r>
        <w:rPr>
          <w:rFonts w:ascii="仿宋" w:eastAsia="仿宋" w:hAnsi="仿宋" w:cs="仿宋" w:hint="eastAsia"/>
          <w:b/>
          <w:sz w:val="24"/>
          <w:szCs w:val="24"/>
        </w:rPr>
        <w:t>（三）体测要求</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按《国家学生体质健康标准（</w:t>
      </w:r>
      <w:r>
        <w:rPr>
          <w:rFonts w:ascii="仿宋_GB2312" w:eastAsia="仿宋_GB2312" w:hint="eastAsia"/>
          <w:sz w:val="24"/>
          <w:szCs w:val="24"/>
        </w:rPr>
        <w:t>2014</w:t>
      </w:r>
      <w:r>
        <w:rPr>
          <w:rFonts w:ascii="仿宋_GB2312" w:eastAsia="仿宋_GB2312" w:hint="eastAsia"/>
          <w:sz w:val="24"/>
          <w:szCs w:val="24"/>
        </w:rPr>
        <w:t>年修订）》（</w:t>
      </w:r>
      <w:proofErr w:type="gramStart"/>
      <w:r>
        <w:rPr>
          <w:rFonts w:ascii="仿宋_GB2312" w:eastAsia="仿宋_GB2312" w:hint="eastAsia"/>
          <w:sz w:val="24"/>
          <w:szCs w:val="24"/>
        </w:rPr>
        <w:t>教体艺</w:t>
      </w:r>
      <w:proofErr w:type="gramEnd"/>
      <w:r>
        <w:rPr>
          <w:rFonts w:ascii="仿宋_GB2312" w:eastAsia="仿宋_GB2312" w:hint="eastAsia"/>
          <w:sz w:val="24"/>
          <w:szCs w:val="24"/>
        </w:rPr>
        <w:t>〔</w:t>
      </w:r>
      <w:r>
        <w:rPr>
          <w:rFonts w:ascii="仿宋_GB2312" w:eastAsia="仿宋_GB2312" w:hint="eastAsia"/>
          <w:sz w:val="24"/>
          <w:szCs w:val="24"/>
        </w:rPr>
        <w:t>2014</w:t>
      </w:r>
      <w:r>
        <w:rPr>
          <w:rFonts w:ascii="仿宋_GB2312" w:eastAsia="仿宋_GB2312" w:hint="eastAsia"/>
          <w:sz w:val="24"/>
          <w:szCs w:val="24"/>
        </w:rPr>
        <w:t>〕</w:t>
      </w:r>
      <w:r>
        <w:rPr>
          <w:rFonts w:ascii="仿宋_GB2312" w:eastAsia="仿宋_GB2312" w:hint="eastAsia"/>
          <w:sz w:val="24"/>
          <w:szCs w:val="24"/>
        </w:rPr>
        <w:t>5</w:t>
      </w:r>
      <w:r>
        <w:rPr>
          <w:rFonts w:ascii="仿宋_GB2312" w:eastAsia="仿宋_GB2312" w:hint="eastAsia"/>
          <w:sz w:val="24"/>
          <w:szCs w:val="24"/>
        </w:rPr>
        <w:t>号文件）要求，学生毕业时体质测试成绩达不到</w:t>
      </w:r>
      <w:r>
        <w:rPr>
          <w:rFonts w:ascii="仿宋_GB2312" w:eastAsia="仿宋_GB2312" w:hint="eastAsia"/>
          <w:sz w:val="24"/>
          <w:szCs w:val="24"/>
        </w:rPr>
        <w:t>50</w:t>
      </w:r>
      <w:r>
        <w:rPr>
          <w:rFonts w:ascii="仿宋_GB2312" w:eastAsia="仿宋_GB2312" w:hint="eastAsia"/>
          <w:sz w:val="24"/>
          <w:szCs w:val="24"/>
        </w:rPr>
        <w:t>分者按结业处理。</w:t>
      </w:r>
    </w:p>
    <w:p w:rsidR="005C7064" w:rsidRDefault="00CA6BF1">
      <w:pPr>
        <w:adjustRightInd w:val="0"/>
        <w:snapToGrid w:val="0"/>
        <w:ind w:firstLineChars="200" w:firstLine="482"/>
        <w:rPr>
          <w:rFonts w:ascii="仿宋" w:eastAsia="仿宋" w:hAnsi="仿宋" w:cs="仿宋"/>
          <w:b/>
          <w:sz w:val="24"/>
          <w:szCs w:val="24"/>
        </w:rPr>
      </w:pPr>
      <w:r>
        <w:rPr>
          <w:rFonts w:ascii="仿宋" w:eastAsia="仿宋" w:hAnsi="仿宋" w:cs="仿宋" w:hint="eastAsia"/>
          <w:b/>
          <w:sz w:val="24"/>
          <w:szCs w:val="24"/>
        </w:rPr>
        <w:t>（四）其他要求</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参加国家一类、国家二类、省一类竞赛获省级二等及以上奖项的学生可免修相应学分的专业课课程。国家级一等奖免修</w:t>
      </w:r>
      <w:r>
        <w:rPr>
          <w:rFonts w:ascii="仿宋_GB2312" w:eastAsia="仿宋_GB2312" w:hint="eastAsia"/>
          <w:sz w:val="24"/>
          <w:szCs w:val="24"/>
        </w:rPr>
        <w:t>10</w:t>
      </w:r>
      <w:r>
        <w:rPr>
          <w:rFonts w:ascii="仿宋_GB2312" w:eastAsia="仿宋_GB2312" w:hint="eastAsia"/>
          <w:sz w:val="24"/>
          <w:szCs w:val="24"/>
        </w:rPr>
        <w:t>个学分，成绩按照优秀（</w:t>
      </w:r>
      <w:r>
        <w:rPr>
          <w:rFonts w:ascii="仿宋_GB2312" w:eastAsia="仿宋_GB2312" w:hint="eastAsia"/>
          <w:sz w:val="24"/>
          <w:szCs w:val="24"/>
        </w:rPr>
        <w:t>95</w:t>
      </w:r>
      <w:r>
        <w:rPr>
          <w:rFonts w:ascii="仿宋_GB2312" w:eastAsia="仿宋_GB2312" w:hint="eastAsia"/>
          <w:sz w:val="24"/>
          <w:szCs w:val="24"/>
        </w:rPr>
        <w:t>分）登记；二等奖免修</w:t>
      </w:r>
      <w:r>
        <w:rPr>
          <w:rFonts w:ascii="仿宋_GB2312" w:eastAsia="仿宋_GB2312" w:hint="eastAsia"/>
          <w:sz w:val="24"/>
          <w:szCs w:val="24"/>
        </w:rPr>
        <w:t>6</w:t>
      </w:r>
      <w:r>
        <w:rPr>
          <w:rFonts w:ascii="仿宋_GB2312" w:eastAsia="仿宋_GB2312" w:hint="eastAsia"/>
          <w:sz w:val="24"/>
          <w:szCs w:val="24"/>
        </w:rPr>
        <w:t>个学分，成绩按照优秀（</w:t>
      </w:r>
      <w:r>
        <w:rPr>
          <w:rFonts w:ascii="仿宋_GB2312" w:eastAsia="仿宋_GB2312" w:hint="eastAsia"/>
          <w:sz w:val="24"/>
          <w:szCs w:val="24"/>
        </w:rPr>
        <w:t>90</w:t>
      </w:r>
      <w:r>
        <w:rPr>
          <w:rFonts w:ascii="仿宋_GB2312" w:eastAsia="仿宋_GB2312" w:hint="eastAsia"/>
          <w:sz w:val="24"/>
          <w:szCs w:val="24"/>
        </w:rPr>
        <w:t>分）登记；三等奖免修</w:t>
      </w:r>
      <w:r>
        <w:rPr>
          <w:rFonts w:ascii="仿宋_GB2312" w:eastAsia="仿宋_GB2312" w:hint="eastAsia"/>
          <w:sz w:val="24"/>
          <w:szCs w:val="24"/>
        </w:rPr>
        <w:t>4</w:t>
      </w:r>
      <w:r>
        <w:rPr>
          <w:rFonts w:ascii="仿宋_GB2312" w:eastAsia="仿宋_GB2312" w:hint="eastAsia"/>
          <w:sz w:val="24"/>
          <w:szCs w:val="24"/>
        </w:rPr>
        <w:t>个学分，成绩按照良好（</w:t>
      </w:r>
      <w:r>
        <w:rPr>
          <w:rFonts w:ascii="仿宋_GB2312" w:eastAsia="仿宋_GB2312" w:hint="eastAsia"/>
          <w:sz w:val="24"/>
          <w:szCs w:val="24"/>
        </w:rPr>
        <w:t>85</w:t>
      </w:r>
      <w:r>
        <w:rPr>
          <w:rFonts w:ascii="仿宋_GB2312" w:eastAsia="仿宋_GB2312" w:hint="eastAsia"/>
          <w:sz w:val="24"/>
          <w:szCs w:val="24"/>
        </w:rPr>
        <w:t>分）登记；省级一等奖免修</w:t>
      </w:r>
      <w:r>
        <w:rPr>
          <w:rFonts w:ascii="仿宋_GB2312" w:eastAsia="仿宋_GB2312" w:hint="eastAsia"/>
          <w:sz w:val="24"/>
          <w:szCs w:val="24"/>
        </w:rPr>
        <w:t>4</w:t>
      </w:r>
      <w:r>
        <w:rPr>
          <w:rFonts w:ascii="仿宋_GB2312" w:eastAsia="仿宋_GB2312" w:hint="eastAsia"/>
          <w:sz w:val="24"/>
          <w:szCs w:val="24"/>
        </w:rPr>
        <w:t>个学分，成绩按照良好（</w:t>
      </w:r>
      <w:r>
        <w:rPr>
          <w:rFonts w:ascii="仿宋_GB2312" w:eastAsia="仿宋_GB2312" w:hint="eastAsia"/>
          <w:sz w:val="24"/>
          <w:szCs w:val="24"/>
        </w:rPr>
        <w:t>85</w:t>
      </w:r>
      <w:r>
        <w:rPr>
          <w:rFonts w:ascii="仿宋_GB2312" w:eastAsia="仿宋_GB2312" w:hint="eastAsia"/>
          <w:sz w:val="24"/>
          <w:szCs w:val="24"/>
        </w:rPr>
        <w:t>分）登记；二等奖免修</w:t>
      </w:r>
      <w:r>
        <w:rPr>
          <w:rFonts w:ascii="仿宋_GB2312" w:eastAsia="仿宋_GB2312" w:hint="eastAsia"/>
          <w:sz w:val="24"/>
          <w:szCs w:val="24"/>
        </w:rPr>
        <w:t>2</w:t>
      </w:r>
      <w:r>
        <w:rPr>
          <w:rFonts w:ascii="仿宋_GB2312" w:eastAsia="仿宋_GB2312" w:hint="eastAsia"/>
          <w:sz w:val="24"/>
          <w:szCs w:val="24"/>
        </w:rPr>
        <w:t>个学分，成绩按照良好（</w:t>
      </w:r>
      <w:r>
        <w:rPr>
          <w:rFonts w:ascii="仿宋_GB2312" w:eastAsia="仿宋_GB2312" w:hint="eastAsia"/>
          <w:sz w:val="24"/>
          <w:szCs w:val="24"/>
        </w:rPr>
        <w:t>80</w:t>
      </w:r>
      <w:r>
        <w:rPr>
          <w:rFonts w:ascii="仿宋_GB2312" w:eastAsia="仿宋_GB2312" w:hint="eastAsia"/>
          <w:sz w:val="24"/>
          <w:szCs w:val="24"/>
        </w:rPr>
        <w:t>分）登记</w:t>
      </w:r>
      <w:r>
        <w:rPr>
          <w:rFonts w:ascii="仿宋_GB2312" w:eastAsia="仿宋_GB2312" w:hint="eastAsia"/>
          <w:sz w:val="24"/>
          <w:szCs w:val="24"/>
        </w:rPr>
        <w:t xml:space="preserve"> </w:t>
      </w:r>
      <w:r>
        <w:rPr>
          <w:rFonts w:ascii="仿宋_GB2312" w:eastAsia="仿宋_GB2312" w:hint="eastAsia"/>
          <w:sz w:val="24"/>
          <w:szCs w:val="24"/>
        </w:rPr>
        <w:t>。</w:t>
      </w:r>
    </w:p>
    <w:p w:rsidR="005C7064" w:rsidRDefault="005C7064">
      <w:pPr>
        <w:adjustRightInd w:val="0"/>
        <w:snapToGrid w:val="0"/>
        <w:ind w:firstLineChars="200" w:firstLine="480"/>
        <w:jc w:val="left"/>
        <w:rPr>
          <w:rFonts w:ascii="仿宋_GB2312" w:eastAsia="仿宋_GB2312"/>
          <w:color w:val="FF0000"/>
          <w:sz w:val="24"/>
          <w:szCs w:val="24"/>
        </w:rPr>
      </w:pPr>
    </w:p>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七、课程体系</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1.</w:t>
      </w:r>
      <w:r>
        <w:rPr>
          <w:rFonts w:ascii="仿宋_GB2312" w:eastAsia="仿宋_GB2312" w:hint="eastAsia"/>
          <w:sz w:val="24"/>
          <w:szCs w:val="24"/>
        </w:rPr>
        <w:t>列示专业课程体系说明及课程框架图。</w:t>
      </w:r>
    </w:p>
    <w:p w:rsidR="005C7064" w:rsidRDefault="00CA6BF1">
      <w:pPr>
        <w:adjustRightInd w:val="0"/>
        <w:snapToGrid w:val="0"/>
        <w:jc w:val="center"/>
        <w:rPr>
          <w:rFonts w:ascii="仿宋_GB2312" w:eastAsia="仿宋_GB2312"/>
          <w:sz w:val="24"/>
          <w:szCs w:val="24"/>
        </w:rPr>
      </w:pPr>
      <w:r>
        <w:rPr>
          <w:rFonts w:ascii="仿宋_GB2312" w:eastAsia="仿宋_GB2312"/>
          <w:noProof/>
          <w:sz w:val="24"/>
          <w:szCs w:val="24"/>
        </w:rPr>
        <w:drawing>
          <wp:inline distT="0" distB="0" distL="0" distR="0">
            <wp:extent cx="4333875" cy="2086610"/>
            <wp:effectExtent l="0" t="0" r="0" b="8890"/>
            <wp:docPr id="16" name="图片 16" descr="C:\Users\Administrator\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Administrator\Desktop\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54178" cy="2096595"/>
                    </a:xfrm>
                    <a:prstGeom prst="rect">
                      <a:avLst/>
                    </a:prstGeom>
                    <a:noFill/>
                    <a:ln>
                      <a:noFill/>
                    </a:ln>
                  </pic:spPr>
                </pic:pic>
              </a:graphicData>
            </a:graphic>
          </wp:inline>
        </w:drawing>
      </w:r>
    </w:p>
    <w:p w:rsidR="005C7064" w:rsidRDefault="00CA6BF1">
      <w:pPr>
        <w:adjustRightInd w:val="0"/>
        <w:snapToGrid w:val="0"/>
        <w:ind w:leftChars="200" w:left="420"/>
        <w:jc w:val="left"/>
        <w:rPr>
          <w:rFonts w:ascii="仿宋_GB2312" w:eastAsia="仿宋_GB2312"/>
          <w:sz w:val="24"/>
          <w:szCs w:val="24"/>
        </w:rPr>
      </w:pPr>
      <w:r>
        <w:rPr>
          <w:rFonts w:ascii="仿宋_GB2312" w:eastAsia="仿宋_GB2312" w:hint="eastAsia"/>
          <w:sz w:val="24"/>
          <w:szCs w:val="24"/>
        </w:rPr>
        <w:t>2.</w:t>
      </w:r>
      <w:r>
        <w:rPr>
          <w:rFonts w:ascii="仿宋_GB2312" w:eastAsia="仿宋_GB2312" w:hint="eastAsia"/>
          <w:sz w:val="24"/>
          <w:szCs w:val="24"/>
        </w:rPr>
        <w:t>列示专业实践教学系统说明及实践教学体系或系统结构图。</w:t>
      </w:r>
    </w:p>
    <w:p w:rsidR="005C7064" w:rsidRDefault="00CA6BF1">
      <w:pPr>
        <w:adjustRightInd w:val="0"/>
        <w:snapToGrid w:val="0"/>
        <w:jc w:val="center"/>
        <w:rPr>
          <w:rFonts w:ascii="仿宋_GB2312" w:eastAsia="仿宋_GB2312"/>
          <w:sz w:val="24"/>
          <w:szCs w:val="24"/>
        </w:rPr>
      </w:pPr>
      <w:r>
        <w:rPr>
          <w:rFonts w:ascii="仿宋_GB2312" w:eastAsia="仿宋_GB2312"/>
          <w:noProof/>
          <w:sz w:val="24"/>
          <w:szCs w:val="24"/>
        </w:rPr>
        <w:drawing>
          <wp:inline distT="0" distB="0" distL="0" distR="0">
            <wp:extent cx="4495800" cy="1874520"/>
            <wp:effectExtent l="0" t="0" r="0" b="0"/>
            <wp:docPr id="19" name="图片 19" descr="C:\Users\Administrator\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Administrator\Desktop\3.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521662" cy="1885382"/>
                    </a:xfrm>
                    <a:prstGeom prst="rect">
                      <a:avLst/>
                    </a:prstGeom>
                    <a:noFill/>
                    <a:ln>
                      <a:noFill/>
                    </a:ln>
                  </pic:spPr>
                </pic:pic>
              </a:graphicData>
            </a:graphic>
          </wp:inline>
        </w:drawing>
      </w:r>
    </w:p>
    <w:p w:rsidR="005C7064" w:rsidRDefault="00CA6BF1">
      <w:pPr>
        <w:adjustRightInd w:val="0"/>
        <w:snapToGrid w:val="0"/>
        <w:ind w:leftChars="200" w:left="420"/>
        <w:jc w:val="left"/>
        <w:rPr>
          <w:rFonts w:ascii="仿宋_GB2312" w:eastAsia="仿宋_GB2312"/>
          <w:sz w:val="24"/>
          <w:szCs w:val="24"/>
        </w:rPr>
      </w:pPr>
      <w:r>
        <w:rPr>
          <w:rFonts w:ascii="仿宋_GB2312" w:eastAsia="仿宋_GB2312" w:hint="eastAsia"/>
          <w:sz w:val="24"/>
          <w:szCs w:val="24"/>
        </w:rPr>
        <w:t>3.</w:t>
      </w:r>
      <w:r>
        <w:rPr>
          <w:rFonts w:ascii="仿宋_GB2312" w:eastAsia="仿宋_GB2312" w:hint="eastAsia"/>
          <w:sz w:val="24"/>
          <w:szCs w:val="24"/>
        </w:rPr>
        <w:t>专业课程导学图</w:t>
      </w:r>
    </w:p>
    <w:p w:rsidR="005C7064" w:rsidRDefault="00CA6BF1">
      <w:pPr>
        <w:widowControl/>
        <w:adjustRightInd w:val="0"/>
        <w:snapToGrid w:val="0"/>
        <w:jc w:val="center"/>
        <w:rPr>
          <w:rFonts w:ascii="宋体" w:hAnsi="宋体" w:cs="宋体"/>
          <w:kern w:val="0"/>
          <w:sz w:val="24"/>
          <w:szCs w:val="24"/>
        </w:rPr>
      </w:pPr>
      <w:r>
        <w:rPr>
          <w:rFonts w:ascii="宋体" w:hAnsi="宋体" w:cs="宋体"/>
          <w:noProof/>
          <w:kern w:val="0"/>
          <w:sz w:val="24"/>
          <w:szCs w:val="24"/>
        </w:rPr>
        <w:drawing>
          <wp:inline distT="0" distB="0" distL="0" distR="0">
            <wp:extent cx="4210050" cy="3343275"/>
            <wp:effectExtent l="0" t="0" r="0" b="9525"/>
            <wp:docPr id="20" name="图片 20" descr="C:\Users\Administrator\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Administrator\Desktop\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30379" cy="3359807"/>
                    </a:xfrm>
                    <a:prstGeom prst="rect">
                      <a:avLst/>
                    </a:prstGeom>
                    <a:noFill/>
                    <a:ln>
                      <a:noFill/>
                    </a:ln>
                  </pic:spPr>
                </pic:pic>
              </a:graphicData>
            </a:graphic>
          </wp:inline>
        </w:drawing>
      </w:r>
    </w:p>
    <w:p w:rsidR="005C7064" w:rsidRDefault="005C7064">
      <w:pPr>
        <w:adjustRightInd w:val="0"/>
        <w:snapToGrid w:val="0"/>
        <w:ind w:firstLineChars="200" w:firstLine="480"/>
        <w:jc w:val="left"/>
        <w:rPr>
          <w:rFonts w:ascii="黑体" w:eastAsia="黑体" w:hAnsi="黑体" w:hint="eastAsia"/>
          <w:sz w:val="24"/>
          <w:szCs w:val="24"/>
        </w:rPr>
      </w:pPr>
    </w:p>
    <w:p w:rsidR="000E13A3" w:rsidRDefault="000E13A3">
      <w:pPr>
        <w:adjustRightInd w:val="0"/>
        <w:snapToGrid w:val="0"/>
        <w:ind w:firstLineChars="200" w:firstLine="480"/>
        <w:jc w:val="left"/>
        <w:rPr>
          <w:rFonts w:ascii="黑体" w:eastAsia="黑体" w:hAnsi="黑体" w:hint="eastAsia"/>
          <w:sz w:val="24"/>
          <w:szCs w:val="24"/>
        </w:rPr>
      </w:pPr>
    </w:p>
    <w:p w:rsidR="000E13A3" w:rsidRDefault="000E13A3">
      <w:pPr>
        <w:adjustRightInd w:val="0"/>
        <w:snapToGrid w:val="0"/>
        <w:ind w:firstLineChars="200" w:firstLine="480"/>
        <w:jc w:val="left"/>
        <w:rPr>
          <w:rFonts w:ascii="黑体" w:eastAsia="黑体" w:hAnsi="黑体"/>
          <w:sz w:val="24"/>
          <w:szCs w:val="24"/>
        </w:rPr>
      </w:pPr>
    </w:p>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lastRenderedPageBreak/>
        <w:t>八、教学进程安排</w:t>
      </w:r>
    </w:p>
    <w:p w:rsidR="005C7064" w:rsidRDefault="00CA6BF1">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（一）教学周数安排</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表</w:t>
      </w:r>
      <w:r>
        <w:rPr>
          <w:rFonts w:ascii="仿宋_GB2312" w:eastAsia="仿宋_GB2312" w:hint="eastAsia"/>
          <w:sz w:val="24"/>
          <w:szCs w:val="24"/>
        </w:rPr>
        <w:t xml:space="preserve">6  </w:t>
      </w:r>
      <w:r>
        <w:rPr>
          <w:rFonts w:ascii="仿宋_GB2312" w:eastAsia="仿宋_GB2312" w:hint="eastAsia"/>
          <w:sz w:val="24"/>
          <w:szCs w:val="24"/>
        </w:rPr>
        <w:t>教学周数安排表</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43"/>
        <w:gridCol w:w="1572"/>
        <w:gridCol w:w="1276"/>
        <w:gridCol w:w="1275"/>
        <w:gridCol w:w="1418"/>
        <w:gridCol w:w="567"/>
        <w:gridCol w:w="709"/>
        <w:gridCol w:w="708"/>
      </w:tblGrid>
      <w:tr w:rsidR="005C7064">
        <w:trPr>
          <w:trHeight w:val="454"/>
          <w:jc w:val="center"/>
        </w:trPr>
        <w:tc>
          <w:tcPr>
            <w:tcW w:w="545"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学</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年</w:t>
            </w:r>
          </w:p>
        </w:tc>
        <w:tc>
          <w:tcPr>
            <w:tcW w:w="543"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学</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期</w:t>
            </w:r>
          </w:p>
        </w:tc>
        <w:tc>
          <w:tcPr>
            <w:tcW w:w="1572"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按学期安排教学周数</w:t>
            </w:r>
          </w:p>
        </w:tc>
        <w:tc>
          <w:tcPr>
            <w:tcW w:w="1276"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按周安排</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教学周数</w:t>
            </w:r>
          </w:p>
        </w:tc>
        <w:tc>
          <w:tcPr>
            <w:tcW w:w="1275"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毕业教学</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环节</w:t>
            </w:r>
          </w:p>
        </w:tc>
        <w:tc>
          <w:tcPr>
            <w:tcW w:w="1418"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入学教育</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毕业教育</w:t>
            </w:r>
          </w:p>
        </w:tc>
        <w:tc>
          <w:tcPr>
            <w:tcW w:w="567"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考</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试</w:t>
            </w:r>
          </w:p>
        </w:tc>
        <w:tc>
          <w:tcPr>
            <w:tcW w:w="709"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合计</w:t>
            </w:r>
          </w:p>
        </w:tc>
        <w:tc>
          <w:tcPr>
            <w:tcW w:w="708"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备注</w:t>
            </w:r>
          </w:p>
        </w:tc>
      </w:tr>
      <w:tr w:rsidR="005C7064">
        <w:trPr>
          <w:trHeight w:val="454"/>
          <w:jc w:val="center"/>
        </w:trPr>
        <w:tc>
          <w:tcPr>
            <w:tcW w:w="545" w:type="dxa"/>
            <w:vMerge w:val="restart"/>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Ⅰ</w:t>
            </w:r>
          </w:p>
        </w:tc>
        <w:tc>
          <w:tcPr>
            <w:tcW w:w="543"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1572"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14</w:t>
            </w:r>
          </w:p>
        </w:tc>
        <w:tc>
          <w:tcPr>
            <w:tcW w:w="1276"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1275"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1418"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2</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军事技能</w:t>
            </w:r>
          </w:p>
        </w:tc>
        <w:tc>
          <w:tcPr>
            <w:tcW w:w="567"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709"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r>
              <w:rPr>
                <w:rFonts w:ascii="仿宋_GB2312" w:eastAsia="仿宋_GB2312"/>
                <w:sz w:val="24"/>
                <w:szCs w:val="24"/>
              </w:rPr>
              <w:t>7</w:t>
            </w:r>
          </w:p>
        </w:tc>
        <w:tc>
          <w:tcPr>
            <w:tcW w:w="708" w:type="dxa"/>
            <w:shd w:val="clear" w:color="auto" w:fill="auto"/>
            <w:vAlign w:val="center"/>
          </w:tcPr>
          <w:p w:rsidR="005C7064" w:rsidRDefault="005C7064">
            <w:pPr>
              <w:adjustRightInd w:val="0"/>
              <w:snapToGrid w:val="0"/>
              <w:jc w:val="center"/>
              <w:rPr>
                <w:rFonts w:ascii="仿宋_GB2312" w:eastAsia="仿宋_GB2312"/>
                <w:sz w:val="24"/>
                <w:szCs w:val="24"/>
              </w:rPr>
            </w:pPr>
          </w:p>
        </w:tc>
      </w:tr>
      <w:tr w:rsidR="005C7064">
        <w:trPr>
          <w:trHeight w:val="454"/>
          <w:jc w:val="center"/>
        </w:trPr>
        <w:tc>
          <w:tcPr>
            <w:tcW w:w="545" w:type="dxa"/>
            <w:vMerge/>
            <w:shd w:val="clear" w:color="auto" w:fill="auto"/>
            <w:vAlign w:val="center"/>
          </w:tcPr>
          <w:p w:rsidR="005C7064" w:rsidRDefault="005C7064">
            <w:pPr>
              <w:adjustRightInd w:val="0"/>
              <w:snapToGrid w:val="0"/>
              <w:jc w:val="center"/>
              <w:rPr>
                <w:rFonts w:ascii="仿宋_GB2312" w:eastAsia="仿宋_GB2312"/>
                <w:sz w:val="24"/>
                <w:szCs w:val="24"/>
              </w:rPr>
            </w:pPr>
          </w:p>
        </w:tc>
        <w:tc>
          <w:tcPr>
            <w:tcW w:w="543"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2</w:t>
            </w:r>
          </w:p>
        </w:tc>
        <w:tc>
          <w:tcPr>
            <w:tcW w:w="1572"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17</w:t>
            </w:r>
          </w:p>
        </w:tc>
        <w:tc>
          <w:tcPr>
            <w:tcW w:w="1276"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2</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暑期实践</w:t>
            </w:r>
          </w:p>
        </w:tc>
        <w:tc>
          <w:tcPr>
            <w:tcW w:w="1275"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1418"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567"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709"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sz w:val="24"/>
                <w:szCs w:val="24"/>
              </w:rPr>
              <w:t>20</w:t>
            </w:r>
          </w:p>
        </w:tc>
        <w:tc>
          <w:tcPr>
            <w:tcW w:w="708" w:type="dxa"/>
            <w:shd w:val="clear" w:color="auto" w:fill="auto"/>
            <w:vAlign w:val="center"/>
          </w:tcPr>
          <w:p w:rsidR="005C7064" w:rsidRDefault="005C7064">
            <w:pPr>
              <w:adjustRightInd w:val="0"/>
              <w:snapToGrid w:val="0"/>
              <w:jc w:val="center"/>
              <w:rPr>
                <w:rFonts w:ascii="仿宋_GB2312" w:eastAsia="仿宋_GB2312"/>
                <w:sz w:val="24"/>
                <w:szCs w:val="24"/>
              </w:rPr>
            </w:pPr>
          </w:p>
        </w:tc>
      </w:tr>
      <w:tr w:rsidR="005C7064">
        <w:trPr>
          <w:trHeight w:val="454"/>
          <w:jc w:val="center"/>
        </w:trPr>
        <w:tc>
          <w:tcPr>
            <w:tcW w:w="545" w:type="dxa"/>
            <w:vMerge w:val="restart"/>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Ⅱ</w:t>
            </w:r>
          </w:p>
        </w:tc>
        <w:tc>
          <w:tcPr>
            <w:tcW w:w="543"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3</w:t>
            </w:r>
          </w:p>
        </w:tc>
        <w:tc>
          <w:tcPr>
            <w:tcW w:w="1572"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17</w:t>
            </w:r>
          </w:p>
        </w:tc>
        <w:tc>
          <w:tcPr>
            <w:tcW w:w="1276"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1275"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1418"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567"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709"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sz w:val="24"/>
                <w:szCs w:val="24"/>
              </w:rPr>
              <w:t>18</w:t>
            </w:r>
          </w:p>
        </w:tc>
        <w:tc>
          <w:tcPr>
            <w:tcW w:w="708" w:type="dxa"/>
            <w:shd w:val="clear" w:color="auto" w:fill="auto"/>
            <w:vAlign w:val="center"/>
          </w:tcPr>
          <w:p w:rsidR="005C7064" w:rsidRDefault="005C7064">
            <w:pPr>
              <w:adjustRightInd w:val="0"/>
              <w:snapToGrid w:val="0"/>
              <w:jc w:val="center"/>
              <w:rPr>
                <w:rFonts w:ascii="仿宋_GB2312" w:eastAsia="仿宋_GB2312"/>
                <w:sz w:val="24"/>
                <w:szCs w:val="24"/>
              </w:rPr>
            </w:pPr>
          </w:p>
        </w:tc>
      </w:tr>
      <w:tr w:rsidR="005C7064">
        <w:trPr>
          <w:trHeight w:val="454"/>
          <w:jc w:val="center"/>
        </w:trPr>
        <w:tc>
          <w:tcPr>
            <w:tcW w:w="545" w:type="dxa"/>
            <w:vMerge/>
            <w:shd w:val="clear" w:color="auto" w:fill="auto"/>
            <w:vAlign w:val="center"/>
          </w:tcPr>
          <w:p w:rsidR="005C7064" w:rsidRDefault="005C7064">
            <w:pPr>
              <w:adjustRightInd w:val="0"/>
              <w:snapToGrid w:val="0"/>
              <w:jc w:val="center"/>
              <w:rPr>
                <w:rFonts w:ascii="仿宋_GB2312" w:eastAsia="仿宋_GB2312"/>
                <w:sz w:val="24"/>
                <w:szCs w:val="24"/>
              </w:rPr>
            </w:pPr>
          </w:p>
        </w:tc>
        <w:tc>
          <w:tcPr>
            <w:tcW w:w="543"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4</w:t>
            </w:r>
          </w:p>
        </w:tc>
        <w:tc>
          <w:tcPr>
            <w:tcW w:w="1572"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17</w:t>
            </w:r>
          </w:p>
        </w:tc>
        <w:tc>
          <w:tcPr>
            <w:tcW w:w="1276"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sz w:val="24"/>
                <w:szCs w:val="24"/>
              </w:rPr>
              <w:t>4</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暑期实践</w:t>
            </w:r>
          </w:p>
        </w:tc>
        <w:tc>
          <w:tcPr>
            <w:tcW w:w="1275"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1418"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567"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709"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sz w:val="24"/>
                <w:szCs w:val="24"/>
              </w:rPr>
              <w:t>22</w:t>
            </w:r>
          </w:p>
        </w:tc>
        <w:tc>
          <w:tcPr>
            <w:tcW w:w="708" w:type="dxa"/>
            <w:shd w:val="clear" w:color="auto" w:fill="auto"/>
            <w:vAlign w:val="center"/>
          </w:tcPr>
          <w:p w:rsidR="005C7064" w:rsidRDefault="005C7064">
            <w:pPr>
              <w:adjustRightInd w:val="0"/>
              <w:snapToGrid w:val="0"/>
              <w:jc w:val="center"/>
              <w:rPr>
                <w:rFonts w:ascii="仿宋_GB2312" w:eastAsia="仿宋_GB2312"/>
                <w:sz w:val="24"/>
                <w:szCs w:val="24"/>
              </w:rPr>
            </w:pPr>
          </w:p>
        </w:tc>
      </w:tr>
      <w:tr w:rsidR="005C7064">
        <w:trPr>
          <w:trHeight w:val="454"/>
          <w:jc w:val="center"/>
        </w:trPr>
        <w:tc>
          <w:tcPr>
            <w:tcW w:w="545" w:type="dxa"/>
            <w:vMerge w:val="restart"/>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Ⅲ</w:t>
            </w:r>
          </w:p>
        </w:tc>
        <w:tc>
          <w:tcPr>
            <w:tcW w:w="543"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5</w:t>
            </w:r>
          </w:p>
        </w:tc>
        <w:tc>
          <w:tcPr>
            <w:tcW w:w="1572"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1276"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1275"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17</w:t>
            </w:r>
          </w:p>
        </w:tc>
        <w:tc>
          <w:tcPr>
            <w:tcW w:w="1418"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机动</w:t>
            </w:r>
          </w:p>
        </w:tc>
        <w:tc>
          <w:tcPr>
            <w:tcW w:w="567"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709"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sz w:val="24"/>
                <w:szCs w:val="24"/>
              </w:rPr>
              <w:t>1</w:t>
            </w:r>
            <w:r>
              <w:rPr>
                <w:rFonts w:ascii="仿宋_GB2312" w:eastAsia="仿宋_GB2312" w:hint="eastAsia"/>
                <w:sz w:val="24"/>
                <w:szCs w:val="24"/>
              </w:rPr>
              <w:t>9</w:t>
            </w:r>
          </w:p>
        </w:tc>
        <w:tc>
          <w:tcPr>
            <w:tcW w:w="708" w:type="dxa"/>
            <w:shd w:val="clear" w:color="auto" w:fill="auto"/>
            <w:vAlign w:val="center"/>
          </w:tcPr>
          <w:p w:rsidR="005C7064" w:rsidRDefault="005C7064">
            <w:pPr>
              <w:adjustRightInd w:val="0"/>
              <w:snapToGrid w:val="0"/>
              <w:jc w:val="center"/>
              <w:rPr>
                <w:rFonts w:ascii="仿宋_GB2312" w:eastAsia="仿宋_GB2312"/>
                <w:sz w:val="24"/>
                <w:szCs w:val="24"/>
              </w:rPr>
            </w:pPr>
          </w:p>
        </w:tc>
      </w:tr>
      <w:tr w:rsidR="005C7064">
        <w:trPr>
          <w:trHeight w:val="454"/>
          <w:jc w:val="center"/>
        </w:trPr>
        <w:tc>
          <w:tcPr>
            <w:tcW w:w="545" w:type="dxa"/>
            <w:vMerge/>
            <w:shd w:val="clear" w:color="auto" w:fill="auto"/>
            <w:vAlign w:val="center"/>
          </w:tcPr>
          <w:p w:rsidR="005C7064" w:rsidRDefault="005C7064">
            <w:pPr>
              <w:adjustRightInd w:val="0"/>
              <w:snapToGrid w:val="0"/>
              <w:jc w:val="center"/>
              <w:rPr>
                <w:rFonts w:ascii="仿宋_GB2312" w:eastAsia="仿宋_GB2312"/>
                <w:sz w:val="24"/>
                <w:szCs w:val="24"/>
              </w:rPr>
            </w:pPr>
          </w:p>
        </w:tc>
        <w:tc>
          <w:tcPr>
            <w:tcW w:w="543"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6</w:t>
            </w:r>
          </w:p>
        </w:tc>
        <w:tc>
          <w:tcPr>
            <w:tcW w:w="1572"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1276" w:type="dxa"/>
            <w:shd w:val="clear" w:color="auto" w:fill="auto"/>
            <w:vAlign w:val="center"/>
          </w:tcPr>
          <w:p w:rsidR="005C7064" w:rsidRDefault="005C7064">
            <w:pPr>
              <w:adjustRightInd w:val="0"/>
              <w:snapToGrid w:val="0"/>
              <w:jc w:val="center"/>
              <w:rPr>
                <w:rFonts w:ascii="仿宋_GB2312" w:eastAsia="仿宋_GB2312"/>
                <w:sz w:val="24"/>
                <w:szCs w:val="24"/>
              </w:rPr>
            </w:pPr>
          </w:p>
        </w:tc>
        <w:tc>
          <w:tcPr>
            <w:tcW w:w="1275"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16</w:t>
            </w:r>
          </w:p>
        </w:tc>
        <w:tc>
          <w:tcPr>
            <w:tcW w:w="1418"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合并进行</w:t>
            </w:r>
          </w:p>
        </w:tc>
        <w:tc>
          <w:tcPr>
            <w:tcW w:w="567"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0</w:t>
            </w:r>
          </w:p>
        </w:tc>
        <w:tc>
          <w:tcPr>
            <w:tcW w:w="709"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16</w:t>
            </w:r>
          </w:p>
        </w:tc>
        <w:tc>
          <w:tcPr>
            <w:tcW w:w="708" w:type="dxa"/>
            <w:shd w:val="clear" w:color="auto" w:fill="auto"/>
            <w:vAlign w:val="center"/>
          </w:tcPr>
          <w:p w:rsidR="005C7064" w:rsidRDefault="005C7064">
            <w:pPr>
              <w:adjustRightInd w:val="0"/>
              <w:snapToGrid w:val="0"/>
              <w:jc w:val="center"/>
              <w:rPr>
                <w:rFonts w:ascii="仿宋_GB2312" w:eastAsia="仿宋_GB2312"/>
                <w:sz w:val="24"/>
                <w:szCs w:val="24"/>
              </w:rPr>
            </w:pPr>
          </w:p>
        </w:tc>
      </w:tr>
      <w:tr w:rsidR="005C7064">
        <w:trPr>
          <w:trHeight w:val="454"/>
          <w:jc w:val="center"/>
        </w:trPr>
        <w:tc>
          <w:tcPr>
            <w:tcW w:w="1088" w:type="dxa"/>
            <w:gridSpan w:val="2"/>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合</w:t>
            </w:r>
            <w:r>
              <w:rPr>
                <w:rFonts w:ascii="仿宋_GB2312" w:eastAsia="仿宋_GB2312" w:hint="eastAsia"/>
                <w:sz w:val="24"/>
                <w:szCs w:val="24"/>
              </w:rPr>
              <w:t xml:space="preserve"> </w:t>
            </w:r>
            <w:r>
              <w:rPr>
                <w:rFonts w:ascii="仿宋_GB2312" w:eastAsia="仿宋_GB2312" w:hint="eastAsia"/>
                <w:sz w:val="24"/>
                <w:szCs w:val="24"/>
              </w:rPr>
              <w:t>计</w:t>
            </w:r>
          </w:p>
        </w:tc>
        <w:tc>
          <w:tcPr>
            <w:tcW w:w="1572"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65</w:t>
            </w:r>
          </w:p>
        </w:tc>
        <w:tc>
          <w:tcPr>
            <w:tcW w:w="1276"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6</w:t>
            </w:r>
          </w:p>
        </w:tc>
        <w:tc>
          <w:tcPr>
            <w:tcW w:w="1275"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33</w:t>
            </w:r>
          </w:p>
        </w:tc>
        <w:tc>
          <w:tcPr>
            <w:tcW w:w="1418"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3</w:t>
            </w:r>
          </w:p>
        </w:tc>
        <w:tc>
          <w:tcPr>
            <w:tcW w:w="567"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5</w:t>
            </w:r>
          </w:p>
        </w:tc>
        <w:tc>
          <w:tcPr>
            <w:tcW w:w="709" w:type="dxa"/>
            <w:shd w:val="clear" w:color="auto" w:fill="auto"/>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r>
              <w:rPr>
                <w:rFonts w:ascii="仿宋_GB2312" w:eastAsia="仿宋_GB2312" w:hint="eastAsia"/>
                <w:sz w:val="24"/>
                <w:szCs w:val="24"/>
              </w:rPr>
              <w:t>12</w:t>
            </w:r>
          </w:p>
        </w:tc>
        <w:tc>
          <w:tcPr>
            <w:tcW w:w="708" w:type="dxa"/>
            <w:shd w:val="clear" w:color="auto" w:fill="auto"/>
            <w:vAlign w:val="center"/>
          </w:tcPr>
          <w:p w:rsidR="005C7064" w:rsidRDefault="005C7064">
            <w:pPr>
              <w:adjustRightInd w:val="0"/>
              <w:snapToGrid w:val="0"/>
              <w:jc w:val="center"/>
              <w:rPr>
                <w:rFonts w:ascii="仿宋_GB2312" w:eastAsia="仿宋_GB2312"/>
                <w:sz w:val="24"/>
                <w:szCs w:val="24"/>
              </w:rPr>
            </w:pPr>
          </w:p>
        </w:tc>
      </w:tr>
    </w:tbl>
    <w:p w:rsidR="005C7064" w:rsidRDefault="00CA6BF1">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（二）按学期安排课程</w:t>
      </w:r>
    </w:p>
    <w:p w:rsidR="005C7064" w:rsidRDefault="00CA6BF1">
      <w:pPr>
        <w:adjustRightInd w:val="0"/>
        <w:snapToGrid w:val="0"/>
        <w:ind w:firstLineChars="300" w:firstLine="720"/>
        <w:jc w:val="left"/>
        <w:rPr>
          <w:rFonts w:ascii="仿宋_GB2312" w:eastAsia="仿宋_GB2312"/>
          <w:sz w:val="24"/>
          <w:szCs w:val="24"/>
        </w:rPr>
      </w:pPr>
      <w:r>
        <w:rPr>
          <w:rFonts w:ascii="仿宋_GB2312" w:eastAsia="仿宋_GB2312" w:hint="eastAsia"/>
          <w:sz w:val="24"/>
          <w:szCs w:val="24"/>
        </w:rPr>
        <w:t>见表</w:t>
      </w:r>
      <w:r>
        <w:rPr>
          <w:rFonts w:ascii="仿宋_GB2312" w:eastAsia="仿宋_GB2312" w:hint="eastAsia"/>
          <w:sz w:val="24"/>
          <w:szCs w:val="24"/>
        </w:rPr>
        <w:t>7</w:t>
      </w:r>
      <w:r>
        <w:rPr>
          <w:rFonts w:ascii="仿宋_GB2312" w:eastAsia="仿宋_GB2312" w:hint="eastAsia"/>
          <w:sz w:val="24"/>
          <w:szCs w:val="24"/>
        </w:rPr>
        <w:t>《教学进程表》</w:t>
      </w:r>
    </w:p>
    <w:p w:rsidR="005C7064" w:rsidRDefault="00CA6BF1">
      <w:pPr>
        <w:adjustRightInd w:val="0"/>
        <w:snapToGrid w:val="0"/>
        <w:ind w:firstLineChars="300" w:firstLine="720"/>
        <w:jc w:val="left"/>
        <w:rPr>
          <w:rFonts w:ascii="仿宋_GB2312" w:eastAsia="仿宋_GB2312"/>
          <w:sz w:val="24"/>
          <w:szCs w:val="24"/>
        </w:rPr>
      </w:pPr>
      <w:r>
        <w:rPr>
          <w:rFonts w:ascii="仿宋_GB2312" w:eastAsia="仿宋_GB2312" w:hint="eastAsia"/>
          <w:sz w:val="24"/>
          <w:szCs w:val="24"/>
        </w:rPr>
        <w:t>表格说明：</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1.</w:t>
      </w:r>
      <w:r>
        <w:rPr>
          <w:rFonts w:ascii="仿宋_GB2312" w:eastAsia="仿宋_GB2312" w:hint="eastAsia"/>
          <w:sz w:val="24"/>
          <w:szCs w:val="24"/>
        </w:rPr>
        <w:t>公共基础任选课程学分栏中的分值是对该类课程的最低学分要求，毕业时该类任选课获得学分不得低于该分值。</w:t>
      </w:r>
    </w:p>
    <w:p w:rsidR="005C7064" w:rsidRDefault="00CA6BF1">
      <w:pPr>
        <w:adjustRightInd w:val="0"/>
        <w:snapToGrid w:val="0"/>
        <w:ind w:firstLineChars="200" w:firstLine="480"/>
        <w:jc w:val="left"/>
        <w:rPr>
          <w:rFonts w:ascii="仿宋_GB2312" w:eastAsia="仿宋_GB2312"/>
          <w:color w:val="000000" w:themeColor="text1"/>
          <w:sz w:val="24"/>
          <w:szCs w:val="24"/>
        </w:rPr>
      </w:pPr>
      <w:r>
        <w:rPr>
          <w:rFonts w:ascii="仿宋_GB2312" w:eastAsia="仿宋_GB2312" w:hint="eastAsia"/>
          <w:color w:val="000000" w:themeColor="text1"/>
          <w:sz w:val="24"/>
          <w:szCs w:val="24"/>
        </w:rPr>
        <w:t>2.</w:t>
      </w:r>
      <w:r>
        <w:rPr>
          <w:rFonts w:ascii="仿宋_GB2312" w:eastAsia="仿宋_GB2312" w:hint="eastAsia"/>
          <w:color w:val="000000" w:themeColor="text1"/>
          <w:sz w:val="24"/>
          <w:szCs w:val="24"/>
        </w:rPr>
        <w:t>对外语、计算机等有考证等级要求的专业应列明“以证代考”。</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sz w:val="24"/>
          <w:szCs w:val="24"/>
        </w:rPr>
        <w:t>3</w:t>
      </w:r>
      <w:r>
        <w:rPr>
          <w:rFonts w:ascii="仿宋_GB2312" w:eastAsia="仿宋_GB2312" w:hint="eastAsia"/>
          <w:sz w:val="24"/>
          <w:szCs w:val="24"/>
        </w:rPr>
        <w:t>.</w:t>
      </w:r>
      <w:r>
        <w:rPr>
          <w:rFonts w:ascii="仿宋_GB2312" w:eastAsia="仿宋_GB2312" w:hint="eastAsia"/>
          <w:sz w:val="24"/>
          <w:szCs w:val="24"/>
        </w:rPr>
        <w:t>课程类型：</w:t>
      </w:r>
      <w:r>
        <w:rPr>
          <w:rFonts w:ascii="仿宋_GB2312" w:eastAsia="仿宋_GB2312" w:hint="eastAsia"/>
          <w:sz w:val="24"/>
          <w:szCs w:val="24"/>
        </w:rPr>
        <w:t>A</w:t>
      </w:r>
      <w:r>
        <w:rPr>
          <w:rFonts w:ascii="仿宋_GB2312" w:eastAsia="仿宋_GB2312" w:hint="eastAsia"/>
          <w:sz w:val="24"/>
          <w:szCs w:val="24"/>
        </w:rPr>
        <w:t>类（纯理论课）、</w:t>
      </w:r>
      <w:r>
        <w:rPr>
          <w:rFonts w:ascii="仿宋_GB2312" w:eastAsia="仿宋_GB2312" w:hint="eastAsia"/>
          <w:sz w:val="24"/>
          <w:szCs w:val="24"/>
        </w:rPr>
        <w:t>B</w:t>
      </w:r>
      <w:r>
        <w:rPr>
          <w:rFonts w:ascii="仿宋_GB2312" w:eastAsia="仿宋_GB2312" w:hint="eastAsia"/>
          <w:sz w:val="24"/>
          <w:szCs w:val="24"/>
        </w:rPr>
        <w:t>类（理论</w:t>
      </w:r>
      <w:r>
        <w:rPr>
          <w:rFonts w:ascii="仿宋_GB2312" w:eastAsia="仿宋_GB2312" w:hint="eastAsia"/>
          <w:sz w:val="24"/>
          <w:szCs w:val="24"/>
        </w:rPr>
        <w:t>+</w:t>
      </w:r>
      <w:r>
        <w:rPr>
          <w:rFonts w:ascii="仿宋_GB2312" w:eastAsia="仿宋_GB2312" w:hint="eastAsia"/>
          <w:sz w:val="24"/>
          <w:szCs w:val="24"/>
        </w:rPr>
        <w:t>实践课）、</w:t>
      </w:r>
      <w:r>
        <w:rPr>
          <w:rFonts w:ascii="仿宋_GB2312" w:eastAsia="仿宋_GB2312" w:hint="eastAsia"/>
          <w:sz w:val="24"/>
          <w:szCs w:val="24"/>
        </w:rPr>
        <w:t>C</w:t>
      </w:r>
      <w:r>
        <w:rPr>
          <w:rFonts w:ascii="仿宋_GB2312" w:eastAsia="仿宋_GB2312" w:hint="eastAsia"/>
          <w:sz w:val="24"/>
          <w:szCs w:val="24"/>
        </w:rPr>
        <w:t>类（</w:t>
      </w:r>
      <w:proofErr w:type="gramStart"/>
      <w:r>
        <w:rPr>
          <w:rFonts w:ascii="仿宋_GB2312" w:eastAsia="仿宋_GB2312" w:hint="eastAsia"/>
          <w:sz w:val="24"/>
          <w:szCs w:val="24"/>
        </w:rPr>
        <w:t>纯实践</w:t>
      </w:r>
      <w:proofErr w:type="gramEnd"/>
      <w:r>
        <w:rPr>
          <w:rFonts w:ascii="仿宋_GB2312" w:eastAsia="仿宋_GB2312" w:hint="eastAsia"/>
          <w:sz w:val="24"/>
          <w:szCs w:val="24"/>
        </w:rPr>
        <w:t>课），单一选项。</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sz w:val="24"/>
          <w:szCs w:val="24"/>
        </w:rPr>
        <w:t>4</w:t>
      </w:r>
      <w:r>
        <w:rPr>
          <w:rFonts w:ascii="仿宋_GB2312" w:eastAsia="仿宋_GB2312" w:hint="eastAsia"/>
          <w:sz w:val="24"/>
          <w:szCs w:val="24"/>
        </w:rPr>
        <w:t>.</w:t>
      </w:r>
      <w:r>
        <w:rPr>
          <w:rFonts w:ascii="仿宋_GB2312" w:eastAsia="仿宋_GB2312" w:hint="eastAsia"/>
          <w:sz w:val="24"/>
          <w:szCs w:val="24"/>
        </w:rPr>
        <w:t>课程属性：专业所有课程分为公共基础课、专业平台课、专业课、第二课堂、第三课堂，单一选项。</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sz w:val="24"/>
          <w:szCs w:val="24"/>
        </w:rPr>
        <w:t>5</w:t>
      </w:r>
      <w:r>
        <w:rPr>
          <w:rFonts w:ascii="仿宋_GB2312" w:eastAsia="仿宋_GB2312" w:hint="eastAsia"/>
          <w:sz w:val="24"/>
          <w:szCs w:val="24"/>
        </w:rPr>
        <w:t>.</w:t>
      </w:r>
      <w:r>
        <w:rPr>
          <w:rFonts w:ascii="仿宋_GB2312" w:eastAsia="仿宋_GB2312" w:hint="eastAsia"/>
          <w:sz w:val="24"/>
          <w:szCs w:val="24"/>
        </w:rPr>
        <w:t>课程性质：专业所有课程分为必修课、专业选修课（含专业限选课和专业任选课）、公共基础选修课（含公共基础限选课和公共基础任选课），单一选项。原则上要求选修课学时占总学时</w:t>
      </w:r>
      <w:r>
        <w:rPr>
          <w:rFonts w:ascii="仿宋_GB2312" w:eastAsia="仿宋_GB2312" w:hint="eastAsia"/>
          <w:sz w:val="24"/>
          <w:szCs w:val="24"/>
        </w:rPr>
        <w:t>比例不低于</w:t>
      </w:r>
      <w:r>
        <w:rPr>
          <w:rFonts w:ascii="仿宋_GB2312" w:eastAsia="仿宋_GB2312" w:hint="eastAsia"/>
          <w:color w:val="000000" w:themeColor="text1"/>
          <w:sz w:val="24"/>
          <w:szCs w:val="24"/>
        </w:rPr>
        <w:t>25%</w:t>
      </w:r>
      <w:r>
        <w:rPr>
          <w:rFonts w:ascii="仿宋_GB2312" w:eastAsia="仿宋_GB2312" w:hint="eastAsia"/>
          <w:color w:val="000000" w:themeColor="text1"/>
          <w:sz w:val="24"/>
          <w:szCs w:val="24"/>
        </w:rPr>
        <w:t>。</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sz w:val="24"/>
          <w:szCs w:val="24"/>
        </w:rPr>
        <w:t>6</w:t>
      </w:r>
      <w:r>
        <w:rPr>
          <w:rFonts w:ascii="仿宋_GB2312" w:eastAsia="仿宋_GB2312" w:hint="eastAsia"/>
          <w:sz w:val="24"/>
          <w:szCs w:val="24"/>
        </w:rPr>
        <w:t>.</w:t>
      </w:r>
      <w:r>
        <w:rPr>
          <w:rFonts w:ascii="仿宋_GB2312" w:eastAsia="仿宋_GB2312" w:hint="eastAsia"/>
          <w:sz w:val="24"/>
          <w:szCs w:val="24"/>
        </w:rPr>
        <w:t>考核方式：分为考试课和考查课。</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sz w:val="24"/>
          <w:szCs w:val="24"/>
        </w:rPr>
        <w:t>7</w:t>
      </w:r>
      <w:r>
        <w:rPr>
          <w:rFonts w:ascii="仿宋_GB2312" w:eastAsia="仿宋_GB2312" w:hint="eastAsia"/>
          <w:sz w:val="24"/>
          <w:szCs w:val="24"/>
        </w:rPr>
        <w:t>.</w:t>
      </w:r>
      <w:r>
        <w:rPr>
          <w:rFonts w:ascii="仿宋_GB2312" w:eastAsia="仿宋_GB2312" w:hint="eastAsia"/>
          <w:sz w:val="24"/>
          <w:szCs w:val="24"/>
        </w:rPr>
        <w:t>有“专升本”升学考试需求的学生，可以选修升学类公共基础任选课，包括专升本大学语文、专升本高等数学和专升本英语，且该类课程学分可以与其他任何一类公共基础任选课学分进行互换和充抵。</w:t>
      </w:r>
    </w:p>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sz w:val="24"/>
          <w:szCs w:val="24"/>
        </w:rPr>
        <w:br w:type="page"/>
      </w:r>
    </w:p>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lastRenderedPageBreak/>
        <w:t>九、专业核心课程描述</w:t>
      </w:r>
    </w:p>
    <w:p w:rsidR="005C7064" w:rsidRDefault="00CA6BF1">
      <w:pPr>
        <w:adjustRightInd w:val="0"/>
        <w:snapToGrid w:val="0"/>
        <w:ind w:firstLineChars="200" w:firstLine="480"/>
        <w:jc w:val="center"/>
        <w:rPr>
          <w:rFonts w:ascii="黑体" w:eastAsia="黑体" w:hAnsi="黑体"/>
          <w:sz w:val="24"/>
          <w:szCs w:val="24"/>
        </w:rPr>
      </w:pPr>
      <w:r>
        <w:rPr>
          <w:rFonts w:ascii="仿宋_GB2312" w:eastAsia="仿宋_GB2312" w:hint="eastAsia"/>
          <w:sz w:val="24"/>
          <w:szCs w:val="24"/>
        </w:rPr>
        <w:t>表</w:t>
      </w:r>
      <w:r>
        <w:rPr>
          <w:rFonts w:ascii="仿宋_GB2312" w:eastAsia="仿宋_GB2312" w:hint="eastAsia"/>
          <w:sz w:val="24"/>
          <w:szCs w:val="24"/>
        </w:rPr>
        <w:t xml:space="preserve">8  </w:t>
      </w:r>
      <w:r>
        <w:rPr>
          <w:rFonts w:ascii="仿宋_GB2312" w:eastAsia="仿宋_GB2312" w:hint="eastAsia"/>
          <w:sz w:val="24"/>
          <w:szCs w:val="24"/>
        </w:rPr>
        <w:t>专业核心课程描述</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
        <w:gridCol w:w="624"/>
        <w:gridCol w:w="1871"/>
        <w:gridCol w:w="3231"/>
        <w:gridCol w:w="3345"/>
        <w:gridCol w:w="567"/>
      </w:tblGrid>
      <w:tr w:rsidR="005C7064">
        <w:trPr>
          <w:trHeight w:val="20"/>
          <w:tblHeader/>
          <w:jc w:val="center"/>
        </w:trPr>
        <w:tc>
          <w:tcPr>
            <w:tcW w:w="340"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序号</w:t>
            </w:r>
          </w:p>
        </w:tc>
        <w:tc>
          <w:tcPr>
            <w:tcW w:w="624"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课程</w:t>
            </w:r>
          </w:p>
          <w:p w:rsidR="005C7064" w:rsidRDefault="00CA6BF1">
            <w:pPr>
              <w:adjustRightInd w:val="0"/>
              <w:snapToGrid w:val="0"/>
              <w:jc w:val="center"/>
              <w:rPr>
                <w:rFonts w:ascii="仿宋_GB2312" w:eastAsia="仿宋_GB2312"/>
                <w:szCs w:val="21"/>
              </w:rPr>
            </w:pPr>
            <w:r>
              <w:rPr>
                <w:rFonts w:ascii="仿宋_GB2312" w:eastAsia="仿宋_GB2312" w:hint="eastAsia"/>
                <w:szCs w:val="21"/>
              </w:rPr>
              <w:t>名称</w:t>
            </w:r>
          </w:p>
        </w:tc>
        <w:tc>
          <w:tcPr>
            <w:tcW w:w="187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学习目标</w:t>
            </w:r>
          </w:p>
        </w:tc>
        <w:tc>
          <w:tcPr>
            <w:tcW w:w="323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主要教学内容与要求</w:t>
            </w:r>
          </w:p>
        </w:tc>
        <w:tc>
          <w:tcPr>
            <w:tcW w:w="3345"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主要教学建议</w:t>
            </w:r>
          </w:p>
        </w:tc>
        <w:tc>
          <w:tcPr>
            <w:tcW w:w="567"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学时数</w:t>
            </w:r>
          </w:p>
        </w:tc>
      </w:tr>
      <w:tr w:rsidR="005C7064">
        <w:trPr>
          <w:trHeight w:val="5040"/>
          <w:jc w:val="center"/>
        </w:trPr>
        <w:tc>
          <w:tcPr>
            <w:tcW w:w="340"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1</w:t>
            </w:r>
          </w:p>
        </w:tc>
        <w:tc>
          <w:tcPr>
            <w:tcW w:w="624"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生产与运作管理</w:t>
            </w:r>
          </w:p>
        </w:tc>
        <w:tc>
          <w:tcPr>
            <w:tcW w:w="187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通过本课程的学习，能对企业的生产线与运输线路进行可行性分析和优选判断，从而客观而现实地设计企业的生产规划，进行生产组织，生产控制工作。</w:t>
            </w:r>
          </w:p>
        </w:tc>
        <w:tc>
          <w:tcPr>
            <w:tcW w:w="3231" w:type="dxa"/>
            <w:tcBorders>
              <w:top w:val="single" w:sz="4" w:space="0" w:color="auto"/>
              <w:left w:val="single" w:sz="4" w:space="0" w:color="auto"/>
              <w:bottom w:val="single" w:sz="4" w:space="0" w:color="auto"/>
              <w:right w:val="single" w:sz="4" w:space="0" w:color="auto"/>
            </w:tcBorders>
            <w:tcMar>
              <w:left w:w="0" w:type="dxa"/>
              <w:right w:w="113"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内容：企业生产系统合理布置；生产过程组织；生产能力核定；生产车间设备、工具管理；生产作业计划编制；生产车间劳动管理；质量控制等基本原理。最新的应用技术，如准时制、制造资源计划、定置管理、流程再造、供应链管理等。实践课程突出中小企业具体运用。</w:t>
            </w:r>
          </w:p>
          <w:p w:rsidR="005C7064" w:rsidRDefault="00CA6BF1">
            <w:pPr>
              <w:adjustRightInd w:val="0"/>
              <w:snapToGrid w:val="0"/>
              <w:jc w:val="center"/>
              <w:rPr>
                <w:rFonts w:ascii="仿宋_GB2312" w:eastAsia="仿宋_GB2312"/>
                <w:spacing w:val="-4"/>
                <w:szCs w:val="21"/>
              </w:rPr>
            </w:pPr>
            <w:r>
              <w:rPr>
                <w:rFonts w:ascii="仿宋_GB2312" w:eastAsia="仿宋_GB2312" w:hint="eastAsia"/>
                <w:spacing w:val="-4"/>
                <w:szCs w:val="21"/>
              </w:rPr>
              <w:t>要求：掌握从事生产与运作管理工作所必备的专业知识。了解现代企业生产运作的基本概念、理论和方法，并对生产运作管理中的若干环节有比较深入的</w:t>
            </w:r>
            <w:r>
              <w:rPr>
                <w:rFonts w:ascii="仿宋_GB2312" w:eastAsia="仿宋_GB2312" w:hint="eastAsia"/>
                <w:spacing w:val="-4"/>
                <w:szCs w:val="21"/>
              </w:rPr>
              <w:t>学习和掌握，同时通过这些知识的学习，使学生提升自身理论素养，为后续实习与课程设计环节做准备，也为顺利走向工作岗位打下坚实的基础。</w:t>
            </w:r>
          </w:p>
        </w:tc>
        <w:tc>
          <w:tcPr>
            <w:tcW w:w="3345"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基于多媒体教学环境的课堂授课方法。充分利用多媒体教学环境条件，将抽象概念形象化、复杂内容简单化、枯燥内容生动化，提高课堂授课质量的目标。采用启发式、互动交流式的等教学方式，强调以问题为导向的教学思路，特别是结合企业实际问题的课堂讨论，对启发学生的创造性思维</w:t>
            </w:r>
            <w:r>
              <w:rPr>
                <w:rFonts w:ascii="仿宋_GB2312" w:eastAsia="仿宋_GB2312" w:hint="eastAsia"/>
                <w:szCs w:val="21"/>
              </w:rPr>
              <w:t xml:space="preserve">, </w:t>
            </w:r>
            <w:r>
              <w:rPr>
                <w:rFonts w:ascii="仿宋_GB2312" w:eastAsia="仿宋_GB2312" w:hint="eastAsia"/>
                <w:szCs w:val="21"/>
              </w:rPr>
              <w:t>激发学生的学习兴趣。</w:t>
            </w:r>
          </w:p>
        </w:tc>
        <w:tc>
          <w:tcPr>
            <w:tcW w:w="567"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color w:val="000000" w:themeColor="text1"/>
                <w:szCs w:val="21"/>
              </w:rPr>
              <w:t>48</w:t>
            </w:r>
          </w:p>
        </w:tc>
      </w:tr>
      <w:tr w:rsidR="005C7064">
        <w:trPr>
          <w:trHeight w:val="3345"/>
          <w:jc w:val="center"/>
        </w:trPr>
        <w:tc>
          <w:tcPr>
            <w:tcW w:w="340"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2</w:t>
            </w:r>
          </w:p>
        </w:tc>
        <w:tc>
          <w:tcPr>
            <w:tcW w:w="624"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企业人力资源管理</w:t>
            </w:r>
          </w:p>
        </w:tc>
        <w:tc>
          <w:tcPr>
            <w:tcW w:w="187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学生通过对该课程的学习，会设计人力资源计划、工作分析并制定工作说明书、员工招聘与配置、与员工良好沟通沟通、对员工绩效进行评估、对员工进行培训等等，</w:t>
            </w:r>
          </w:p>
        </w:tc>
        <w:tc>
          <w:tcPr>
            <w:tcW w:w="323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pacing w:val="-4"/>
                <w:szCs w:val="21"/>
              </w:rPr>
            </w:pPr>
            <w:r>
              <w:rPr>
                <w:rFonts w:ascii="仿宋_GB2312" w:eastAsia="仿宋_GB2312" w:hint="eastAsia"/>
                <w:spacing w:val="-4"/>
                <w:szCs w:val="21"/>
              </w:rPr>
              <w:t>内容：企业组织结构的设计与选用；组织手册编制；规章制度、管理规范、工作细则制订以及员工招聘、考核、培训、晋升、薪酬、职业生涯规划等流程性知识。相应的实践课程突出理论在中小企业人力资源管理中的具体运用。</w:t>
            </w:r>
          </w:p>
          <w:p w:rsidR="005C7064" w:rsidRDefault="00CA6BF1">
            <w:pPr>
              <w:adjustRightInd w:val="0"/>
              <w:snapToGrid w:val="0"/>
              <w:jc w:val="center"/>
              <w:rPr>
                <w:rFonts w:ascii="仿宋_GB2312" w:eastAsia="仿宋_GB2312"/>
                <w:szCs w:val="21"/>
              </w:rPr>
            </w:pPr>
            <w:r>
              <w:rPr>
                <w:rFonts w:ascii="仿宋_GB2312" w:eastAsia="仿宋_GB2312" w:hint="eastAsia"/>
                <w:szCs w:val="21"/>
              </w:rPr>
              <w:t>要求：学生通过任务引领型的项目活动，了解人力资源管理的结构框架，初步掌握人力资源管理的一般理论和模块工作，为人力资源资格考证和各模块的深入学习奠定基础。</w:t>
            </w:r>
          </w:p>
        </w:tc>
        <w:tc>
          <w:tcPr>
            <w:tcW w:w="3345"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ind w:firstLineChars="200" w:firstLine="420"/>
              <w:jc w:val="center"/>
              <w:rPr>
                <w:rFonts w:ascii="仿宋_GB2312" w:eastAsia="仿宋_GB2312"/>
                <w:szCs w:val="21"/>
              </w:rPr>
            </w:pPr>
            <w:r>
              <w:rPr>
                <w:rFonts w:ascii="仿宋_GB2312" w:eastAsia="仿宋_GB2312" w:hint="eastAsia"/>
                <w:szCs w:val="21"/>
              </w:rPr>
              <w:t>学生以小</w:t>
            </w:r>
            <w:r>
              <w:rPr>
                <w:rFonts w:ascii="仿宋_GB2312" w:eastAsia="仿宋_GB2312" w:hint="eastAsia"/>
                <w:szCs w:val="21"/>
              </w:rPr>
              <w:t>组为单位，模拟公司运作，完成企业人力资源部的各项工作任务。采用小组讨论、市场调查、角色扮演、企业观摩，模拟实战，成果展示等教学形式。整个学习过程，以学生自主、独立学习为主，教师更多的以“师傅”、“导演”身份出现，成为学生学习的激励者、咨询者、指导者。</w:t>
            </w:r>
          </w:p>
        </w:tc>
        <w:tc>
          <w:tcPr>
            <w:tcW w:w="567"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color w:val="000000" w:themeColor="text1"/>
                <w:szCs w:val="21"/>
              </w:rPr>
              <w:t>60</w:t>
            </w:r>
          </w:p>
        </w:tc>
      </w:tr>
      <w:tr w:rsidR="005C7064">
        <w:trPr>
          <w:trHeight w:val="20"/>
          <w:jc w:val="center"/>
        </w:trPr>
        <w:tc>
          <w:tcPr>
            <w:tcW w:w="340"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3</w:t>
            </w:r>
          </w:p>
        </w:tc>
        <w:tc>
          <w:tcPr>
            <w:tcW w:w="624"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市场营销实务</w:t>
            </w:r>
          </w:p>
        </w:tc>
        <w:tc>
          <w:tcPr>
            <w:tcW w:w="187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通过本课程的学习，</w:t>
            </w:r>
            <w:r>
              <w:rPr>
                <w:rFonts w:ascii="仿宋_GB2312" w:eastAsia="仿宋_GB2312" w:hint="eastAsia"/>
                <w:szCs w:val="21"/>
              </w:rPr>
              <w:t xml:space="preserve"> </w:t>
            </w:r>
            <w:r>
              <w:rPr>
                <w:rFonts w:ascii="仿宋_GB2312" w:eastAsia="仿宋_GB2312" w:hint="eastAsia"/>
                <w:szCs w:val="21"/>
              </w:rPr>
              <w:t>会进行产品开发、生产、定价、分销、促销等市场营销活动。</w:t>
            </w:r>
          </w:p>
          <w:p w:rsidR="005C7064" w:rsidRDefault="00CA6BF1">
            <w:pPr>
              <w:adjustRightInd w:val="0"/>
              <w:snapToGrid w:val="0"/>
              <w:jc w:val="center"/>
              <w:rPr>
                <w:rFonts w:ascii="仿宋_GB2312" w:eastAsia="仿宋_GB2312"/>
                <w:szCs w:val="21"/>
              </w:rPr>
            </w:pPr>
            <w:r>
              <w:rPr>
                <w:rFonts w:ascii="仿宋_GB2312" w:eastAsia="仿宋_GB2312" w:hint="eastAsia"/>
                <w:szCs w:val="21"/>
              </w:rPr>
              <w:t>牢固树立以消费者需求为中心的市场营销观念，并以此观念为指导去研究和解决市场营销的理论和实际问题。</w:t>
            </w:r>
          </w:p>
          <w:p w:rsidR="005C7064" w:rsidRDefault="005C7064">
            <w:pPr>
              <w:adjustRightInd w:val="0"/>
              <w:snapToGrid w:val="0"/>
              <w:jc w:val="center"/>
              <w:rPr>
                <w:rFonts w:ascii="仿宋_GB2312" w:eastAsia="仿宋_GB2312"/>
                <w:szCs w:val="21"/>
              </w:rPr>
            </w:pPr>
          </w:p>
        </w:tc>
        <w:tc>
          <w:tcPr>
            <w:tcW w:w="323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内容：现代市场营销活动的基本原理，包括消费者心理学、企业营销环境分析，企业目标市场营销策略组合，国际市场营销等基础知识；相应的实践课程训练营销过程中的策略方法和技巧。</w:t>
            </w:r>
          </w:p>
          <w:p w:rsidR="005C7064" w:rsidRDefault="00CA6BF1">
            <w:pPr>
              <w:adjustRightInd w:val="0"/>
              <w:snapToGrid w:val="0"/>
              <w:jc w:val="center"/>
              <w:rPr>
                <w:rFonts w:ascii="仿宋_GB2312" w:eastAsia="仿宋_GB2312"/>
                <w:szCs w:val="21"/>
              </w:rPr>
            </w:pPr>
            <w:r>
              <w:rPr>
                <w:rFonts w:ascii="仿宋_GB2312" w:eastAsia="仿宋_GB2312" w:hint="eastAsia"/>
                <w:szCs w:val="21"/>
              </w:rPr>
              <w:t>要求：牢固树立以顾客为中心，满足消费者需求的市场营销理念，熟悉市场营销活动的基本过程，掌握市场营销各环节的基本操作方法，能够制定营销计划，并能把市场调研和分析方法行业应用相结合，同事，具有信息收集能力、市场机会识别能力一级团队合作精神。</w:t>
            </w:r>
          </w:p>
        </w:tc>
        <w:tc>
          <w:tcPr>
            <w:tcW w:w="3345"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1.</w:t>
            </w:r>
            <w:r>
              <w:rPr>
                <w:rFonts w:ascii="仿宋_GB2312" w:eastAsia="仿宋_GB2312" w:hint="eastAsia"/>
                <w:szCs w:val="21"/>
              </w:rPr>
              <w:t>注重案例教学。通过教学案例的剖析，为学生提供一条案例分析与应用的思路和方法。</w:t>
            </w:r>
            <w:r>
              <w:rPr>
                <w:rFonts w:ascii="仿宋_GB2312" w:eastAsia="仿宋_GB2312" w:hint="eastAsia"/>
                <w:szCs w:val="21"/>
              </w:rPr>
              <w:t>2.</w:t>
            </w:r>
            <w:r>
              <w:rPr>
                <w:rFonts w:ascii="仿宋_GB2312" w:eastAsia="仿宋_GB2312" w:hint="eastAsia"/>
                <w:szCs w:val="21"/>
              </w:rPr>
              <w:t>课程的讲授应着重于重点</w:t>
            </w:r>
            <w:r>
              <w:rPr>
                <w:rFonts w:ascii="仿宋_GB2312" w:eastAsia="仿宋_GB2312" w:hint="eastAsia"/>
                <w:szCs w:val="21"/>
              </w:rPr>
              <w:t>的归纳、难点的剖析以及作业讲解和案例讨论，防止“一言堂”。讨论内容可以是教材中的案例，也可是任课教师补充的案例。</w:t>
            </w:r>
            <w:r>
              <w:rPr>
                <w:rFonts w:ascii="仿宋_GB2312" w:eastAsia="仿宋_GB2312" w:hint="eastAsia"/>
                <w:szCs w:val="21"/>
              </w:rPr>
              <w:t>3.</w:t>
            </w:r>
            <w:r>
              <w:rPr>
                <w:rFonts w:ascii="仿宋_GB2312" w:eastAsia="仿宋_GB2312" w:hint="eastAsia"/>
                <w:szCs w:val="21"/>
              </w:rPr>
              <w:t>开展课程设计、鼓励学生积极参与社会实践活动，进行实战演习，以达到应用的目的。</w:t>
            </w:r>
            <w:r>
              <w:rPr>
                <w:rFonts w:ascii="仿宋_GB2312" w:eastAsia="仿宋_GB2312" w:hint="eastAsia"/>
                <w:szCs w:val="21"/>
              </w:rPr>
              <w:t>4.</w:t>
            </w:r>
            <w:r>
              <w:rPr>
                <w:rFonts w:ascii="仿宋_GB2312" w:eastAsia="仿宋_GB2312" w:hint="eastAsia"/>
                <w:szCs w:val="21"/>
              </w:rPr>
              <w:t>充分利用学校资源，采用计算机和网络等多媒体现代化教育手段进行教学。</w:t>
            </w:r>
          </w:p>
        </w:tc>
        <w:tc>
          <w:tcPr>
            <w:tcW w:w="567"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color w:val="000000" w:themeColor="text1"/>
                <w:szCs w:val="21"/>
              </w:rPr>
              <w:t>48</w:t>
            </w:r>
          </w:p>
        </w:tc>
      </w:tr>
      <w:tr w:rsidR="005C7064">
        <w:trPr>
          <w:trHeight w:val="20"/>
          <w:jc w:val="center"/>
        </w:trPr>
        <w:tc>
          <w:tcPr>
            <w:tcW w:w="340"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4</w:t>
            </w:r>
          </w:p>
        </w:tc>
        <w:tc>
          <w:tcPr>
            <w:tcW w:w="624"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5C7064">
            <w:pPr>
              <w:widowControl/>
              <w:adjustRightInd w:val="0"/>
              <w:snapToGrid w:val="0"/>
              <w:jc w:val="center"/>
              <w:rPr>
                <w:rFonts w:ascii="仿宋_GB2312" w:eastAsia="仿宋_GB2312"/>
                <w:szCs w:val="21"/>
              </w:rPr>
            </w:pPr>
          </w:p>
          <w:p w:rsidR="005C7064" w:rsidRDefault="00CA6BF1">
            <w:pPr>
              <w:widowControl/>
              <w:adjustRightInd w:val="0"/>
              <w:snapToGrid w:val="0"/>
              <w:ind w:leftChars="86" w:left="181"/>
              <w:jc w:val="center"/>
              <w:rPr>
                <w:rFonts w:ascii="仿宋_GB2312" w:eastAsia="仿宋_GB2312"/>
                <w:szCs w:val="21"/>
              </w:rPr>
            </w:pPr>
            <w:r>
              <w:rPr>
                <w:rFonts w:ascii="仿宋_GB2312" w:eastAsia="仿宋_GB2312" w:hint="eastAsia"/>
                <w:szCs w:val="21"/>
              </w:rPr>
              <w:lastRenderedPageBreak/>
              <w:t>财务管理</w:t>
            </w:r>
          </w:p>
          <w:p w:rsidR="005C7064" w:rsidRDefault="005C7064">
            <w:pPr>
              <w:adjustRightInd w:val="0"/>
              <w:snapToGrid w:val="0"/>
              <w:jc w:val="center"/>
              <w:rPr>
                <w:rFonts w:ascii="仿宋_GB2312" w:eastAsia="仿宋_GB2312"/>
                <w:szCs w:val="21"/>
              </w:rPr>
            </w:pPr>
          </w:p>
        </w:tc>
        <w:tc>
          <w:tcPr>
            <w:tcW w:w="187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utoSpaceDE w:val="0"/>
              <w:autoSpaceDN w:val="0"/>
              <w:adjustRightInd w:val="0"/>
              <w:snapToGrid w:val="0"/>
              <w:jc w:val="center"/>
              <w:rPr>
                <w:rFonts w:ascii="仿宋_GB2312" w:eastAsia="仿宋_GB2312"/>
                <w:szCs w:val="21"/>
              </w:rPr>
            </w:pPr>
            <w:r>
              <w:rPr>
                <w:rFonts w:ascii="仿宋_GB2312" w:eastAsia="仿宋_GB2312" w:hint="eastAsia"/>
                <w:szCs w:val="21"/>
              </w:rPr>
              <w:lastRenderedPageBreak/>
              <w:t>通过本课程的学</w:t>
            </w:r>
            <w:r>
              <w:rPr>
                <w:rFonts w:ascii="仿宋_GB2312" w:eastAsia="仿宋_GB2312" w:hint="eastAsia"/>
                <w:szCs w:val="21"/>
              </w:rPr>
              <w:lastRenderedPageBreak/>
              <w:t>习，会项目投资进行财务可行性分析；制定营运资金政策；选取适当的方式为企业筹措资金；编制财务预算；利用财务比率对会计报表进行财务分析；运用财务分析的方法为企业提供财务建议。</w:t>
            </w:r>
          </w:p>
        </w:tc>
        <w:tc>
          <w:tcPr>
            <w:tcW w:w="323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lastRenderedPageBreak/>
              <w:t>内容有：财务管理基础、筹资管理、</w:t>
            </w:r>
            <w:r>
              <w:rPr>
                <w:rFonts w:ascii="仿宋_GB2312" w:eastAsia="仿宋_GB2312" w:hint="eastAsia"/>
                <w:szCs w:val="21"/>
              </w:rPr>
              <w:lastRenderedPageBreak/>
              <w:t>营运资金管理、投资管理、财务成果与评价。</w:t>
            </w:r>
          </w:p>
          <w:p w:rsidR="005C7064" w:rsidRDefault="00CA6BF1">
            <w:pPr>
              <w:adjustRightInd w:val="0"/>
              <w:snapToGrid w:val="0"/>
              <w:jc w:val="center"/>
              <w:rPr>
                <w:rFonts w:ascii="仿宋_GB2312" w:eastAsia="仿宋_GB2312"/>
                <w:szCs w:val="21"/>
              </w:rPr>
            </w:pPr>
            <w:r>
              <w:rPr>
                <w:rFonts w:ascii="仿宋_GB2312" w:eastAsia="仿宋_GB2312" w:hint="eastAsia"/>
                <w:szCs w:val="21"/>
              </w:rPr>
              <w:t>要求：掌握财务管理基础知识、基本观念、基本程序、基本方法和基本技能，并能灵活运用计算机技术，解决企业筹资、投资和</w:t>
            </w:r>
            <w:r>
              <w:rPr>
                <w:rFonts w:ascii="仿宋_GB2312" w:eastAsia="仿宋_GB2312" w:hint="eastAsia"/>
                <w:spacing w:val="-4"/>
                <w:szCs w:val="21"/>
              </w:rPr>
              <w:t>利润分配等管理活动的实际问题，并富有创新意识和创新能力，能够胜任企事业单位的管理工作或者财务管理工作，并按岗位职业需求，不断调整教学内容。</w:t>
            </w:r>
          </w:p>
        </w:tc>
        <w:tc>
          <w:tcPr>
            <w:tcW w:w="3345"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lastRenderedPageBreak/>
              <w:t>1.</w:t>
            </w:r>
            <w:r>
              <w:rPr>
                <w:rFonts w:ascii="仿宋_GB2312" w:eastAsia="仿宋_GB2312" w:hint="eastAsia"/>
                <w:szCs w:val="21"/>
              </w:rPr>
              <w:t>主要采用班级授课制，也可结合</w:t>
            </w:r>
            <w:r>
              <w:rPr>
                <w:rFonts w:ascii="仿宋_GB2312" w:eastAsia="仿宋_GB2312" w:hint="eastAsia"/>
                <w:szCs w:val="21"/>
              </w:rPr>
              <w:lastRenderedPageBreak/>
              <w:t>授课需要采用分组讨论或案例分析，并可到企业进行现场参观学习。</w:t>
            </w:r>
          </w:p>
          <w:p w:rsidR="005C7064" w:rsidRDefault="00CA6BF1">
            <w:pPr>
              <w:adjustRightInd w:val="0"/>
              <w:snapToGrid w:val="0"/>
              <w:jc w:val="center"/>
              <w:rPr>
                <w:rFonts w:ascii="仿宋_GB2312" w:eastAsia="仿宋_GB2312"/>
                <w:szCs w:val="21"/>
              </w:rPr>
            </w:pPr>
            <w:r>
              <w:rPr>
                <w:rFonts w:ascii="仿宋_GB2312" w:eastAsia="仿宋_GB2312" w:hint="eastAsia"/>
                <w:szCs w:val="21"/>
              </w:rPr>
              <w:t>2</w:t>
            </w:r>
            <w:r>
              <w:rPr>
                <w:rFonts w:ascii="仿宋_GB2312" w:eastAsia="仿宋_GB2312" w:hint="eastAsia"/>
                <w:spacing w:val="-4"/>
                <w:szCs w:val="21"/>
              </w:rPr>
              <w:t>.</w:t>
            </w:r>
            <w:r>
              <w:rPr>
                <w:rFonts w:ascii="仿宋_GB2312" w:eastAsia="仿宋_GB2312" w:hint="eastAsia"/>
                <w:spacing w:val="-4"/>
                <w:szCs w:val="21"/>
              </w:rPr>
              <w:t>注意教学方法的灵活性，应多结合实际案例来进行讨论，培养学生观察问题及解决问题的能力；应充分应用多媒体教学手段来提高教学效果与效率，并与本学科当前的最新发展紧密相联</w:t>
            </w:r>
            <w:r>
              <w:rPr>
                <w:rFonts w:ascii="仿宋_GB2312" w:eastAsia="仿宋_GB2312" w:hint="eastAsia"/>
                <w:spacing w:val="-4"/>
                <w:szCs w:val="21"/>
              </w:rPr>
              <w:t>,</w:t>
            </w:r>
            <w:r>
              <w:rPr>
                <w:rFonts w:ascii="仿宋_GB2312" w:eastAsia="仿宋_GB2312" w:hint="eastAsia"/>
                <w:spacing w:val="-4"/>
                <w:szCs w:val="21"/>
              </w:rPr>
              <w:t>适当举办财务专题讲座。</w:t>
            </w:r>
          </w:p>
          <w:p w:rsidR="005C7064" w:rsidRDefault="00CA6BF1">
            <w:pPr>
              <w:adjustRightInd w:val="0"/>
              <w:snapToGrid w:val="0"/>
              <w:jc w:val="center"/>
              <w:rPr>
                <w:rFonts w:ascii="仿宋_GB2312" w:eastAsia="仿宋_GB2312"/>
                <w:spacing w:val="-4"/>
                <w:szCs w:val="21"/>
              </w:rPr>
            </w:pPr>
            <w:r>
              <w:rPr>
                <w:rFonts w:ascii="仿宋_GB2312" w:eastAsia="仿宋_GB2312" w:hint="eastAsia"/>
                <w:spacing w:val="-4"/>
                <w:szCs w:val="21"/>
              </w:rPr>
              <w:t>3.</w:t>
            </w:r>
            <w:r>
              <w:rPr>
                <w:rFonts w:ascii="仿宋_GB2312" w:eastAsia="仿宋_GB2312" w:hint="eastAsia"/>
                <w:spacing w:val="-4"/>
                <w:szCs w:val="21"/>
              </w:rPr>
              <w:t>充分发挥学生的主动性，多进行启发式教学、交互式教学。</w:t>
            </w:r>
          </w:p>
        </w:tc>
        <w:tc>
          <w:tcPr>
            <w:tcW w:w="567"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color w:val="000000" w:themeColor="text1"/>
                <w:szCs w:val="21"/>
              </w:rPr>
              <w:lastRenderedPageBreak/>
              <w:t>60</w:t>
            </w:r>
          </w:p>
        </w:tc>
      </w:tr>
      <w:tr w:rsidR="005C7064">
        <w:trPr>
          <w:trHeight w:val="2968"/>
          <w:jc w:val="center"/>
        </w:trPr>
        <w:tc>
          <w:tcPr>
            <w:tcW w:w="340"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lastRenderedPageBreak/>
              <w:t>5</w:t>
            </w:r>
          </w:p>
        </w:tc>
        <w:tc>
          <w:tcPr>
            <w:tcW w:w="624"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质量</w:t>
            </w:r>
          </w:p>
          <w:p w:rsidR="005C7064" w:rsidRDefault="00CA6BF1">
            <w:pPr>
              <w:adjustRightInd w:val="0"/>
              <w:snapToGrid w:val="0"/>
              <w:jc w:val="center"/>
              <w:rPr>
                <w:rFonts w:ascii="仿宋_GB2312" w:eastAsia="仿宋_GB2312"/>
                <w:szCs w:val="21"/>
              </w:rPr>
            </w:pPr>
            <w:r>
              <w:rPr>
                <w:rFonts w:ascii="仿宋_GB2312" w:eastAsia="仿宋_GB2312" w:hint="eastAsia"/>
                <w:szCs w:val="21"/>
              </w:rPr>
              <w:t>管理</w:t>
            </w:r>
          </w:p>
        </w:tc>
        <w:tc>
          <w:tcPr>
            <w:tcW w:w="187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掌握质量管理常用的统计方法；能够进行工序控制；对产品进行质量检验；对质量成本和服务质量进行管理；使用预测可靠性指标的方法计算可靠性指标。</w:t>
            </w:r>
          </w:p>
        </w:tc>
        <w:tc>
          <w:tcPr>
            <w:tcW w:w="323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pacing w:val="-4"/>
                <w:szCs w:val="21"/>
              </w:rPr>
            </w:pPr>
            <w:r>
              <w:rPr>
                <w:rFonts w:ascii="仿宋_GB2312" w:eastAsia="仿宋_GB2312" w:hint="eastAsia"/>
                <w:szCs w:val="21"/>
              </w:rPr>
              <w:t>内</w:t>
            </w:r>
            <w:r>
              <w:rPr>
                <w:rFonts w:ascii="仿宋_GB2312" w:eastAsia="仿宋_GB2312" w:hint="eastAsia"/>
                <w:spacing w:val="-4"/>
                <w:szCs w:val="21"/>
              </w:rPr>
              <w:t>容：最先进的质量管理理念、全面质量管理的特点与应用、统计分析技术等、质量管理体系。</w:t>
            </w:r>
          </w:p>
          <w:p w:rsidR="005C7064" w:rsidRDefault="00CA6BF1">
            <w:pPr>
              <w:adjustRightInd w:val="0"/>
              <w:snapToGrid w:val="0"/>
              <w:jc w:val="center"/>
              <w:rPr>
                <w:rFonts w:ascii="仿宋_GB2312" w:eastAsia="仿宋_GB2312"/>
                <w:szCs w:val="21"/>
              </w:rPr>
            </w:pPr>
            <w:r>
              <w:rPr>
                <w:rFonts w:ascii="仿宋_GB2312" w:eastAsia="仿宋_GB2312" w:hint="eastAsia"/>
                <w:spacing w:val="-4"/>
                <w:szCs w:val="21"/>
              </w:rPr>
              <w:t>要求：明确质量的</w:t>
            </w:r>
            <w:r>
              <w:rPr>
                <w:rFonts w:ascii="仿宋_GB2312" w:eastAsia="仿宋_GB2312" w:hint="eastAsia"/>
                <w:spacing w:val="-4"/>
                <w:szCs w:val="21"/>
              </w:rPr>
              <w:t>定义、</w:t>
            </w:r>
            <w:r>
              <w:rPr>
                <w:rFonts w:ascii="仿宋_GB2312" w:eastAsia="仿宋_GB2312" w:hint="eastAsia"/>
                <w:spacing w:val="-4"/>
                <w:szCs w:val="21"/>
              </w:rPr>
              <w:t>TQM</w:t>
            </w:r>
            <w:r>
              <w:rPr>
                <w:rFonts w:ascii="仿宋_GB2312" w:eastAsia="仿宋_GB2312" w:hint="eastAsia"/>
                <w:spacing w:val="-4"/>
                <w:szCs w:val="21"/>
              </w:rPr>
              <w:t>的实质；增强质量意识，突破质量控制的传统思想；明确全面质量管理的重点工作，理解自身应承担的质量责任和要求；掌握先进的质量管理理念及全面质量管理过程常用方法和技巧；会用全面质量管理的提高产品质量；灵活使用国家标准中的针对批次抽样检验标准</w:t>
            </w:r>
          </w:p>
        </w:tc>
        <w:tc>
          <w:tcPr>
            <w:tcW w:w="3345"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采用多样化的教学方法，如多媒体教学、案例教学、录像教学、软件教学等立体化教学手段，并通过案例、习题、小组项目作业、专题研讨和企业参观实习等，加深学生对理论的认识，同时融入其它管理学知识来启发和开拓学生思路，注重培养学生的学习兴趣、应用能力和创新意识，以充分调动学生</w:t>
            </w:r>
            <w:r>
              <w:rPr>
                <w:rFonts w:ascii="仿宋_GB2312" w:eastAsia="仿宋_GB2312" w:hint="eastAsia"/>
                <w:szCs w:val="21"/>
              </w:rPr>
              <w:t>学习质量管理知识的积极性和主动性。</w:t>
            </w:r>
          </w:p>
        </w:tc>
        <w:tc>
          <w:tcPr>
            <w:tcW w:w="567"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color w:val="000000" w:themeColor="text1"/>
                <w:szCs w:val="21"/>
              </w:rPr>
              <w:t>60</w:t>
            </w:r>
          </w:p>
        </w:tc>
      </w:tr>
      <w:tr w:rsidR="005C7064">
        <w:trPr>
          <w:trHeight w:val="20"/>
          <w:jc w:val="center"/>
        </w:trPr>
        <w:tc>
          <w:tcPr>
            <w:tcW w:w="340"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6</w:t>
            </w:r>
          </w:p>
        </w:tc>
        <w:tc>
          <w:tcPr>
            <w:tcW w:w="624"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企业战略管理</w:t>
            </w:r>
          </w:p>
        </w:tc>
        <w:tc>
          <w:tcPr>
            <w:tcW w:w="187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通过本课程的学习，能够了解和掌握企业发展战略制定和战略实施的过程。</w:t>
            </w:r>
          </w:p>
        </w:tc>
        <w:tc>
          <w:tcPr>
            <w:tcW w:w="3231"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内容有：战略分析、</w:t>
            </w:r>
            <w:r>
              <w:rPr>
                <w:rFonts w:ascii="仿宋_GB2312" w:eastAsia="仿宋_GB2312" w:hint="eastAsia"/>
                <w:szCs w:val="21"/>
              </w:rPr>
              <w:t xml:space="preserve"> </w:t>
            </w:r>
            <w:r>
              <w:rPr>
                <w:rFonts w:ascii="仿宋_GB2312" w:eastAsia="仿宋_GB2312" w:hint="eastAsia"/>
                <w:szCs w:val="21"/>
              </w:rPr>
              <w:t>战略选择、战略实施、战略评价和调整</w:t>
            </w:r>
          </w:p>
          <w:p w:rsidR="005C7064" w:rsidRDefault="00CA6BF1">
            <w:pPr>
              <w:adjustRightInd w:val="0"/>
              <w:snapToGrid w:val="0"/>
              <w:jc w:val="center"/>
              <w:rPr>
                <w:rFonts w:ascii="仿宋_GB2312" w:eastAsia="仿宋_GB2312"/>
                <w:szCs w:val="21"/>
              </w:rPr>
            </w:pPr>
            <w:r>
              <w:rPr>
                <w:rFonts w:ascii="仿宋_GB2312" w:eastAsia="仿宋_GB2312" w:hint="eastAsia"/>
                <w:szCs w:val="21"/>
              </w:rPr>
              <w:t>要求：了解组织所处的环境和相对竞争地位，确定企业的使命和目标；制定战略选择方案；采取措施发挥战略作用、评价和选择方案，为了实现既定的战略目标，需要对组织结构做调整；学会处理可能出现的利益再分配与企业文化的适应问题；通过评价企业的经营业绩，审视战略的科学性和有效性。</w:t>
            </w:r>
          </w:p>
        </w:tc>
        <w:tc>
          <w:tcPr>
            <w:tcW w:w="3345"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szCs w:val="21"/>
              </w:rPr>
            </w:pPr>
            <w:r>
              <w:rPr>
                <w:rFonts w:ascii="仿宋_GB2312" w:eastAsia="仿宋_GB2312" w:hint="eastAsia"/>
                <w:szCs w:val="21"/>
              </w:rPr>
              <w:t>1.</w:t>
            </w:r>
            <w:r>
              <w:rPr>
                <w:rFonts w:ascii="仿宋_GB2312" w:eastAsia="仿宋_GB2312" w:hint="eastAsia"/>
                <w:szCs w:val="21"/>
              </w:rPr>
              <w:t>注重案例教学。通过教学案例的剖析，为学生提供一条案例分析与应用的思路和方法。</w:t>
            </w:r>
          </w:p>
          <w:p w:rsidR="005C7064" w:rsidRDefault="00CA6BF1">
            <w:pPr>
              <w:adjustRightInd w:val="0"/>
              <w:snapToGrid w:val="0"/>
              <w:jc w:val="center"/>
              <w:rPr>
                <w:rFonts w:ascii="仿宋_GB2312" w:eastAsia="仿宋_GB2312"/>
                <w:szCs w:val="21"/>
              </w:rPr>
            </w:pPr>
            <w:r>
              <w:rPr>
                <w:rFonts w:ascii="仿宋_GB2312" w:eastAsia="仿宋_GB2312" w:hint="eastAsia"/>
                <w:szCs w:val="21"/>
              </w:rPr>
              <w:t>2.</w:t>
            </w:r>
            <w:r>
              <w:rPr>
                <w:rFonts w:ascii="仿宋_GB2312" w:eastAsia="仿宋_GB2312" w:hint="eastAsia"/>
                <w:szCs w:val="21"/>
              </w:rPr>
              <w:t>主要采用班级授课制，也可结合授课需要采用分组讨论或案例分析，并可到企业进行现场参观学习。</w:t>
            </w:r>
          </w:p>
        </w:tc>
        <w:tc>
          <w:tcPr>
            <w:tcW w:w="567" w:type="dxa"/>
            <w:tcBorders>
              <w:top w:val="single" w:sz="4" w:space="0" w:color="auto"/>
              <w:left w:val="single" w:sz="4" w:space="0" w:color="auto"/>
              <w:bottom w:val="single" w:sz="4" w:space="0" w:color="auto"/>
              <w:right w:val="single" w:sz="4" w:space="0" w:color="auto"/>
            </w:tcBorders>
            <w:tcMar>
              <w:left w:w="0" w:type="dxa"/>
            </w:tcMar>
            <w:vAlign w:val="center"/>
          </w:tcPr>
          <w:p w:rsidR="005C7064" w:rsidRDefault="00CA6BF1">
            <w:pPr>
              <w:adjustRightInd w:val="0"/>
              <w:snapToGrid w:val="0"/>
              <w:jc w:val="center"/>
              <w:rPr>
                <w:rFonts w:ascii="仿宋_GB2312" w:eastAsia="仿宋_GB2312"/>
                <w:color w:val="FF0000"/>
                <w:szCs w:val="21"/>
              </w:rPr>
            </w:pPr>
            <w:r>
              <w:rPr>
                <w:rFonts w:ascii="仿宋_GB2312" w:eastAsia="仿宋_GB2312" w:hint="eastAsia"/>
                <w:color w:val="000000" w:themeColor="text1"/>
                <w:szCs w:val="21"/>
              </w:rPr>
              <w:t>60</w:t>
            </w:r>
          </w:p>
        </w:tc>
      </w:tr>
    </w:tbl>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十、校企联合培养计划专业</w:t>
      </w:r>
      <w:r w:rsidR="000E13A3">
        <w:rPr>
          <w:rFonts w:ascii="黑体" w:eastAsia="黑体" w:hAnsi="黑体" w:hint="eastAsia"/>
          <w:sz w:val="24"/>
          <w:szCs w:val="24"/>
        </w:rPr>
        <w:t>顶岗实习</w:t>
      </w:r>
      <w:r>
        <w:rPr>
          <w:rFonts w:ascii="黑体" w:eastAsia="黑体" w:hAnsi="黑体" w:hint="eastAsia"/>
          <w:sz w:val="24"/>
          <w:szCs w:val="24"/>
        </w:rPr>
        <w:t>实训课程</w:t>
      </w:r>
    </w:p>
    <w:p w:rsidR="005C7064" w:rsidRDefault="00CA6BF1">
      <w:pPr>
        <w:adjustRightInd w:val="0"/>
        <w:snapToGrid w:val="0"/>
        <w:ind w:firstLineChars="200" w:firstLine="480"/>
        <w:jc w:val="center"/>
        <w:rPr>
          <w:rFonts w:ascii="仿宋_GB2312" w:eastAsia="仿宋_GB2312"/>
          <w:sz w:val="24"/>
          <w:szCs w:val="24"/>
        </w:rPr>
      </w:pPr>
      <w:r>
        <w:rPr>
          <w:rFonts w:ascii="仿宋_GB2312" w:eastAsia="仿宋_GB2312" w:hint="eastAsia"/>
          <w:sz w:val="24"/>
          <w:szCs w:val="24"/>
        </w:rPr>
        <w:t>表</w:t>
      </w:r>
      <w:r>
        <w:rPr>
          <w:rFonts w:ascii="仿宋_GB2312" w:eastAsia="仿宋_GB2312" w:hint="eastAsia"/>
          <w:sz w:val="24"/>
          <w:szCs w:val="24"/>
        </w:rPr>
        <w:t xml:space="preserve">9  </w:t>
      </w:r>
      <w:r>
        <w:rPr>
          <w:rFonts w:ascii="仿宋_GB2312" w:eastAsia="仿宋_GB2312" w:hint="eastAsia"/>
          <w:sz w:val="24"/>
          <w:szCs w:val="24"/>
        </w:rPr>
        <w:t>校企联合培养计划专业</w:t>
      </w:r>
      <w:r w:rsidR="000E13A3">
        <w:rPr>
          <w:rFonts w:ascii="仿宋_GB2312" w:eastAsia="仿宋_GB2312" w:hint="eastAsia"/>
          <w:sz w:val="24"/>
          <w:szCs w:val="24"/>
        </w:rPr>
        <w:t>顶岗实习</w:t>
      </w:r>
      <w:bookmarkStart w:id="1" w:name="_GoBack"/>
      <w:bookmarkEnd w:id="1"/>
      <w:r>
        <w:rPr>
          <w:rFonts w:ascii="仿宋_GB2312" w:eastAsia="仿宋_GB2312" w:hint="eastAsia"/>
          <w:sz w:val="24"/>
          <w:szCs w:val="24"/>
        </w:rPr>
        <w:t>实训课程表</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158"/>
        <w:gridCol w:w="1612"/>
        <w:gridCol w:w="710"/>
        <w:gridCol w:w="707"/>
        <w:gridCol w:w="642"/>
        <w:gridCol w:w="1641"/>
        <w:gridCol w:w="2805"/>
      </w:tblGrid>
      <w:tr w:rsidR="005C7064">
        <w:tc>
          <w:tcPr>
            <w:tcW w:w="235" w:type="pct"/>
            <w:vAlign w:val="center"/>
          </w:tcPr>
          <w:p w:rsidR="005C7064" w:rsidRDefault="00CA6BF1">
            <w:pPr>
              <w:jc w:val="center"/>
              <w:rPr>
                <w:rFonts w:ascii="仿宋_GB2312" w:eastAsia="仿宋_GB2312"/>
                <w:szCs w:val="21"/>
              </w:rPr>
            </w:pPr>
            <w:r>
              <w:rPr>
                <w:rFonts w:ascii="仿宋_GB2312" w:eastAsia="仿宋_GB2312" w:hAnsi="仿宋" w:cs="仿宋" w:hint="eastAsia"/>
                <w:b/>
                <w:szCs w:val="21"/>
              </w:rPr>
              <w:t>序号</w:t>
            </w:r>
          </w:p>
        </w:tc>
        <w:tc>
          <w:tcPr>
            <w:tcW w:w="595" w:type="pct"/>
            <w:vAlign w:val="center"/>
          </w:tcPr>
          <w:p w:rsidR="005C7064" w:rsidRDefault="00CA6BF1">
            <w:pPr>
              <w:jc w:val="center"/>
              <w:rPr>
                <w:rFonts w:ascii="仿宋_GB2312" w:eastAsia="仿宋_GB2312" w:hAnsi="仿宋" w:cs="仿宋"/>
                <w:b/>
                <w:szCs w:val="21"/>
              </w:rPr>
            </w:pPr>
            <w:r>
              <w:rPr>
                <w:rFonts w:ascii="仿宋_GB2312" w:eastAsia="仿宋_GB2312" w:hAnsi="仿宋" w:cs="仿宋" w:hint="eastAsia"/>
                <w:b/>
                <w:szCs w:val="21"/>
              </w:rPr>
              <w:t>类别</w:t>
            </w:r>
          </w:p>
        </w:tc>
        <w:tc>
          <w:tcPr>
            <w:tcW w:w="827" w:type="pct"/>
            <w:vAlign w:val="center"/>
          </w:tcPr>
          <w:p w:rsidR="005C7064" w:rsidRDefault="00CA6BF1">
            <w:pPr>
              <w:jc w:val="center"/>
              <w:rPr>
                <w:rFonts w:ascii="仿宋_GB2312" w:eastAsia="仿宋_GB2312" w:hAnsi="仿宋" w:cs="仿宋"/>
                <w:b/>
                <w:szCs w:val="21"/>
              </w:rPr>
            </w:pPr>
            <w:r>
              <w:rPr>
                <w:rFonts w:ascii="仿宋_GB2312" w:eastAsia="仿宋_GB2312" w:hAnsi="仿宋" w:cs="仿宋" w:hint="eastAsia"/>
                <w:b/>
                <w:szCs w:val="21"/>
              </w:rPr>
              <w:t>课程名称或实习内容</w:t>
            </w:r>
          </w:p>
        </w:tc>
        <w:tc>
          <w:tcPr>
            <w:tcW w:w="365" w:type="pct"/>
            <w:vAlign w:val="center"/>
          </w:tcPr>
          <w:p w:rsidR="005C7064" w:rsidRDefault="00CA6BF1">
            <w:pPr>
              <w:jc w:val="center"/>
              <w:rPr>
                <w:rFonts w:ascii="仿宋_GB2312" w:eastAsia="仿宋_GB2312" w:hAnsi="仿宋" w:cs="仿宋"/>
                <w:b/>
                <w:szCs w:val="21"/>
              </w:rPr>
            </w:pPr>
            <w:r>
              <w:rPr>
                <w:rFonts w:ascii="仿宋_GB2312" w:eastAsia="仿宋_GB2312" w:hAnsi="仿宋" w:cs="仿宋" w:hint="eastAsia"/>
                <w:b/>
                <w:szCs w:val="21"/>
              </w:rPr>
              <w:t>学分</w:t>
            </w:r>
          </w:p>
        </w:tc>
        <w:tc>
          <w:tcPr>
            <w:tcW w:w="363" w:type="pct"/>
            <w:vAlign w:val="center"/>
          </w:tcPr>
          <w:p w:rsidR="005C7064" w:rsidRDefault="00CA6BF1">
            <w:pPr>
              <w:jc w:val="center"/>
              <w:rPr>
                <w:rFonts w:ascii="仿宋_GB2312" w:eastAsia="仿宋_GB2312" w:hAnsi="仿宋" w:cs="仿宋"/>
                <w:b/>
                <w:szCs w:val="21"/>
              </w:rPr>
            </w:pPr>
            <w:r>
              <w:rPr>
                <w:rFonts w:ascii="仿宋_GB2312" w:eastAsia="仿宋_GB2312" w:hAnsi="仿宋" w:cs="仿宋" w:hint="eastAsia"/>
                <w:b/>
                <w:szCs w:val="21"/>
              </w:rPr>
              <w:t>周数</w:t>
            </w:r>
          </w:p>
        </w:tc>
        <w:tc>
          <w:tcPr>
            <w:tcW w:w="330" w:type="pct"/>
            <w:vAlign w:val="center"/>
          </w:tcPr>
          <w:p w:rsidR="005C7064" w:rsidRDefault="00CA6BF1">
            <w:pPr>
              <w:jc w:val="center"/>
              <w:rPr>
                <w:rFonts w:ascii="仿宋_GB2312" w:eastAsia="仿宋_GB2312" w:hAnsi="仿宋" w:cs="仿宋"/>
                <w:b/>
                <w:szCs w:val="21"/>
              </w:rPr>
            </w:pPr>
            <w:r>
              <w:rPr>
                <w:rFonts w:ascii="仿宋_GB2312" w:eastAsia="仿宋_GB2312" w:hAnsi="仿宋" w:cs="仿宋" w:hint="eastAsia"/>
                <w:b/>
                <w:szCs w:val="21"/>
              </w:rPr>
              <w:t>学期</w:t>
            </w:r>
          </w:p>
        </w:tc>
        <w:tc>
          <w:tcPr>
            <w:tcW w:w="843" w:type="pct"/>
            <w:vAlign w:val="center"/>
          </w:tcPr>
          <w:p w:rsidR="005C7064" w:rsidRDefault="00CA6BF1">
            <w:pPr>
              <w:jc w:val="center"/>
              <w:rPr>
                <w:rFonts w:ascii="仿宋_GB2312" w:eastAsia="仿宋_GB2312" w:hAnsi="仿宋" w:cs="仿宋"/>
                <w:b/>
                <w:szCs w:val="21"/>
              </w:rPr>
            </w:pPr>
            <w:r>
              <w:rPr>
                <w:rFonts w:ascii="仿宋_GB2312" w:eastAsia="仿宋_GB2312" w:hAnsi="仿宋" w:cs="仿宋" w:hint="eastAsia"/>
                <w:b/>
                <w:szCs w:val="21"/>
              </w:rPr>
              <w:t>合作企业</w:t>
            </w:r>
          </w:p>
        </w:tc>
        <w:tc>
          <w:tcPr>
            <w:tcW w:w="1441" w:type="pct"/>
            <w:vAlign w:val="center"/>
          </w:tcPr>
          <w:p w:rsidR="005C7064" w:rsidRDefault="00CA6BF1">
            <w:pPr>
              <w:jc w:val="center"/>
              <w:rPr>
                <w:rFonts w:ascii="仿宋_GB2312" w:eastAsia="仿宋_GB2312" w:hAnsi="仿宋" w:cs="仿宋"/>
                <w:b/>
                <w:szCs w:val="21"/>
              </w:rPr>
            </w:pPr>
            <w:r>
              <w:rPr>
                <w:rFonts w:ascii="仿宋_GB2312" w:eastAsia="仿宋_GB2312" w:hAnsi="仿宋" w:cs="仿宋" w:hint="eastAsia"/>
                <w:b/>
                <w:szCs w:val="21"/>
              </w:rPr>
              <w:t>考核要点</w:t>
            </w:r>
          </w:p>
        </w:tc>
      </w:tr>
      <w:tr w:rsidR="005C7064">
        <w:trPr>
          <w:trHeight w:val="300"/>
        </w:trPr>
        <w:tc>
          <w:tcPr>
            <w:tcW w:w="235"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1</w:t>
            </w:r>
          </w:p>
        </w:tc>
        <w:tc>
          <w:tcPr>
            <w:tcW w:w="595" w:type="pct"/>
            <w:vAlign w:val="center"/>
          </w:tcPr>
          <w:p w:rsidR="005C7064" w:rsidRDefault="00CA6BF1">
            <w:pPr>
              <w:jc w:val="center"/>
              <w:rPr>
                <w:rFonts w:ascii="仿宋_GB2312" w:eastAsia="仿宋_GB2312" w:cs="仿宋_GB2312"/>
                <w:szCs w:val="21"/>
              </w:rPr>
            </w:pPr>
            <w:proofErr w:type="gramStart"/>
            <w:r>
              <w:rPr>
                <w:rFonts w:ascii="仿宋_GB2312" w:eastAsia="仿宋_GB2312" w:cs="仿宋_GB2312" w:hint="eastAsia"/>
                <w:szCs w:val="21"/>
              </w:rPr>
              <w:t>跟岗实习</w:t>
            </w:r>
            <w:proofErr w:type="gramEnd"/>
          </w:p>
        </w:tc>
        <w:tc>
          <w:tcPr>
            <w:tcW w:w="827"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中期顶岗实习</w:t>
            </w:r>
          </w:p>
        </w:tc>
        <w:tc>
          <w:tcPr>
            <w:tcW w:w="365"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18</w:t>
            </w:r>
          </w:p>
        </w:tc>
        <w:tc>
          <w:tcPr>
            <w:tcW w:w="363"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18</w:t>
            </w:r>
            <w:r>
              <w:rPr>
                <w:rFonts w:ascii="仿宋_GB2312" w:eastAsia="仿宋_GB2312" w:cs="仿宋_GB2312" w:hint="eastAsia"/>
                <w:szCs w:val="21"/>
              </w:rPr>
              <w:t>周</w:t>
            </w:r>
          </w:p>
        </w:tc>
        <w:tc>
          <w:tcPr>
            <w:tcW w:w="330"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5</w:t>
            </w:r>
          </w:p>
        </w:tc>
        <w:tc>
          <w:tcPr>
            <w:tcW w:w="843"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永高股份、金拱门、方远国际、欧尚超市等</w:t>
            </w:r>
          </w:p>
        </w:tc>
        <w:tc>
          <w:tcPr>
            <w:tcW w:w="1441"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完成中期顶岗实习周记不少于</w:t>
            </w:r>
            <w:r>
              <w:rPr>
                <w:rFonts w:ascii="仿宋_GB2312" w:eastAsia="仿宋_GB2312" w:cs="仿宋_GB2312" w:hint="eastAsia"/>
                <w:szCs w:val="21"/>
              </w:rPr>
              <w:t>16</w:t>
            </w:r>
            <w:r>
              <w:rPr>
                <w:rFonts w:ascii="仿宋_GB2312" w:eastAsia="仿宋_GB2312" w:cs="仿宋_GB2312" w:hint="eastAsia"/>
                <w:szCs w:val="21"/>
              </w:rPr>
              <w:t>篇，实习总结报告一篇，提交企业盖章的岗位考核表</w:t>
            </w:r>
          </w:p>
        </w:tc>
      </w:tr>
      <w:tr w:rsidR="005C7064">
        <w:trPr>
          <w:trHeight w:val="300"/>
        </w:trPr>
        <w:tc>
          <w:tcPr>
            <w:tcW w:w="235"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2</w:t>
            </w:r>
          </w:p>
        </w:tc>
        <w:tc>
          <w:tcPr>
            <w:tcW w:w="595" w:type="pct"/>
            <w:vAlign w:val="center"/>
          </w:tcPr>
          <w:p w:rsidR="005C7064" w:rsidRDefault="00CA6BF1">
            <w:pPr>
              <w:jc w:val="center"/>
              <w:rPr>
                <w:rFonts w:ascii="仿宋_GB2312" w:eastAsia="仿宋_GB2312" w:cs="仿宋_GB2312"/>
                <w:szCs w:val="21"/>
              </w:rPr>
            </w:pPr>
            <w:proofErr w:type="gramStart"/>
            <w:r>
              <w:rPr>
                <w:rFonts w:ascii="仿宋_GB2312" w:eastAsia="仿宋_GB2312" w:cs="仿宋_GB2312" w:hint="eastAsia"/>
                <w:szCs w:val="21"/>
              </w:rPr>
              <w:t>跟岗实习</w:t>
            </w:r>
            <w:proofErr w:type="gramEnd"/>
          </w:p>
        </w:tc>
        <w:tc>
          <w:tcPr>
            <w:tcW w:w="827"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暑期专业实习</w:t>
            </w:r>
          </w:p>
        </w:tc>
        <w:tc>
          <w:tcPr>
            <w:tcW w:w="365"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4</w:t>
            </w:r>
          </w:p>
        </w:tc>
        <w:tc>
          <w:tcPr>
            <w:tcW w:w="363"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4</w:t>
            </w:r>
            <w:r>
              <w:rPr>
                <w:rFonts w:ascii="仿宋_GB2312" w:eastAsia="仿宋_GB2312" w:cs="仿宋_GB2312" w:hint="eastAsia"/>
                <w:szCs w:val="21"/>
              </w:rPr>
              <w:t>周</w:t>
            </w:r>
          </w:p>
        </w:tc>
        <w:tc>
          <w:tcPr>
            <w:tcW w:w="330"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4</w:t>
            </w:r>
          </w:p>
        </w:tc>
        <w:tc>
          <w:tcPr>
            <w:tcW w:w="843"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永高股份、金拱门、方远国际、欧尚超市等</w:t>
            </w:r>
          </w:p>
        </w:tc>
        <w:tc>
          <w:tcPr>
            <w:tcW w:w="1441"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完成专业实习周记</w:t>
            </w:r>
            <w:r>
              <w:rPr>
                <w:rFonts w:ascii="仿宋_GB2312" w:eastAsia="仿宋_GB2312" w:cs="仿宋_GB2312" w:hint="eastAsia"/>
                <w:szCs w:val="21"/>
              </w:rPr>
              <w:t>4</w:t>
            </w:r>
            <w:r>
              <w:rPr>
                <w:rFonts w:ascii="仿宋_GB2312" w:eastAsia="仿宋_GB2312" w:cs="仿宋_GB2312" w:hint="eastAsia"/>
                <w:szCs w:val="21"/>
              </w:rPr>
              <w:t>篇，实习总结报告一篇，实习照片两张</w:t>
            </w:r>
          </w:p>
        </w:tc>
      </w:tr>
      <w:tr w:rsidR="005C7064">
        <w:trPr>
          <w:trHeight w:val="210"/>
        </w:trPr>
        <w:tc>
          <w:tcPr>
            <w:tcW w:w="235"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3</w:t>
            </w:r>
          </w:p>
        </w:tc>
        <w:tc>
          <w:tcPr>
            <w:tcW w:w="595"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顶岗实习</w:t>
            </w:r>
          </w:p>
        </w:tc>
        <w:tc>
          <w:tcPr>
            <w:tcW w:w="827"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毕业顶岗实习</w:t>
            </w:r>
          </w:p>
        </w:tc>
        <w:tc>
          <w:tcPr>
            <w:tcW w:w="365"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12</w:t>
            </w:r>
          </w:p>
        </w:tc>
        <w:tc>
          <w:tcPr>
            <w:tcW w:w="363"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12</w:t>
            </w:r>
            <w:r>
              <w:rPr>
                <w:rFonts w:ascii="仿宋_GB2312" w:eastAsia="仿宋_GB2312" w:cs="仿宋_GB2312" w:hint="eastAsia"/>
                <w:szCs w:val="21"/>
              </w:rPr>
              <w:t>周</w:t>
            </w:r>
          </w:p>
        </w:tc>
        <w:tc>
          <w:tcPr>
            <w:tcW w:w="330"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6</w:t>
            </w:r>
          </w:p>
        </w:tc>
        <w:tc>
          <w:tcPr>
            <w:tcW w:w="843"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永高股份、金拱门、方远国际、欧尚超市等</w:t>
            </w:r>
          </w:p>
        </w:tc>
        <w:tc>
          <w:tcPr>
            <w:tcW w:w="1441"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完成毕业顶岗实习周记</w:t>
            </w:r>
            <w:r>
              <w:rPr>
                <w:rFonts w:ascii="仿宋_GB2312" w:eastAsia="仿宋_GB2312" w:cs="仿宋_GB2312" w:hint="eastAsia"/>
                <w:szCs w:val="21"/>
              </w:rPr>
              <w:t>12</w:t>
            </w:r>
            <w:r>
              <w:rPr>
                <w:rFonts w:ascii="仿宋_GB2312" w:eastAsia="仿宋_GB2312" w:cs="仿宋_GB2312" w:hint="eastAsia"/>
                <w:szCs w:val="21"/>
              </w:rPr>
              <w:t>篇，实习总结报告一篇，提交企业盖章的岗位考核表</w:t>
            </w:r>
          </w:p>
        </w:tc>
      </w:tr>
      <w:tr w:rsidR="005C7064">
        <w:trPr>
          <w:trHeight w:val="210"/>
        </w:trPr>
        <w:tc>
          <w:tcPr>
            <w:tcW w:w="1658" w:type="pct"/>
            <w:gridSpan w:val="3"/>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合计</w:t>
            </w:r>
          </w:p>
        </w:tc>
        <w:tc>
          <w:tcPr>
            <w:tcW w:w="365"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34</w:t>
            </w:r>
          </w:p>
        </w:tc>
        <w:tc>
          <w:tcPr>
            <w:tcW w:w="363" w:type="pct"/>
            <w:vAlign w:val="center"/>
          </w:tcPr>
          <w:p w:rsidR="005C7064" w:rsidRDefault="00CA6BF1">
            <w:pPr>
              <w:jc w:val="center"/>
              <w:rPr>
                <w:rFonts w:ascii="仿宋_GB2312" w:eastAsia="仿宋_GB2312" w:cs="仿宋_GB2312"/>
                <w:szCs w:val="21"/>
              </w:rPr>
            </w:pPr>
            <w:r>
              <w:rPr>
                <w:rFonts w:ascii="仿宋_GB2312" w:eastAsia="仿宋_GB2312" w:cs="仿宋_GB2312" w:hint="eastAsia"/>
                <w:szCs w:val="21"/>
              </w:rPr>
              <w:t>34</w:t>
            </w:r>
            <w:r>
              <w:rPr>
                <w:rFonts w:ascii="仿宋_GB2312" w:eastAsia="仿宋_GB2312" w:cs="仿宋_GB2312" w:hint="eastAsia"/>
                <w:szCs w:val="21"/>
              </w:rPr>
              <w:t>周</w:t>
            </w:r>
          </w:p>
        </w:tc>
        <w:tc>
          <w:tcPr>
            <w:tcW w:w="2614" w:type="pct"/>
            <w:gridSpan w:val="3"/>
            <w:vAlign w:val="center"/>
          </w:tcPr>
          <w:p w:rsidR="005C7064" w:rsidRDefault="005C7064">
            <w:pPr>
              <w:jc w:val="center"/>
              <w:rPr>
                <w:rFonts w:ascii="仿宋_GB2312" w:eastAsia="仿宋_GB2312" w:cs="仿宋_GB2312"/>
                <w:szCs w:val="21"/>
              </w:rPr>
            </w:pPr>
          </w:p>
        </w:tc>
      </w:tr>
    </w:tbl>
    <w:p w:rsidR="005C7064" w:rsidRDefault="005C7064">
      <w:pPr>
        <w:adjustRightInd w:val="0"/>
        <w:snapToGrid w:val="0"/>
        <w:ind w:firstLineChars="200" w:firstLine="480"/>
        <w:jc w:val="center"/>
        <w:rPr>
          <w:rFonts w:ascii="仿宋_GB2312" w:eastAsia="仿宋_GB2312"/>
          <w:sz w:val="24"/>
          <w:szCs w:val="24"/>
        </w:rPr>
      </w:pPr>
    </w:p>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十一、专业办学基本条件和教学建议</w:t>
      </w:r>
    </w:p>
    <w:p w:rsidR="005C7064" w:rsidRDefault="00CA6BF1">
      <w:pPr>
        <w:pStyle w:val="aa"/>
        <w:numPr>
          <w:ilvl w:val="0"/>
          <w:numId w:val="1"/>
        </w:numPr>
        <w:adjustRightInd w:val="0"/>
        <w:snapToGrid w:val="0"/>
        <w:ind w:left="0" w:firstLineChars="0" w:firstLine="0"/>
        <w:rPr>
          <w:rFonts w:ascii="楷体" w:eastAsia="楷体" w:hAnsi="楷体"/>
          <w:color w:val="000000"/>
          <w:sz w:val="24"/>
          <w:szCs w:val="24"/>
        </w:rPr>
      </w:pPr>
      <w:r>
        <w:rPr>
          <w:rFonts w:ascii="楷体" w:eastAsia="楷体" w:hAnsi="楷体" w:hint="eastAsia"/>
          <w:color w:val="000000"/>
          <w:sz w:val="24"/>
          <w:szCs w:val="24"/>
        </w:rPr>
        <w:t>专业教学团队</w:t>
      </w:r>
    </w:p>
    <w:p w:rsidR="005C7064" w:rsidRDefault="00CA6BF1">
      <w:pPr>
        <w:adjustRightInd w:val="0"/>
        <w:snapToGrid w:val="0"/>
        <w:spacing w:beforeLines="50" w:before="120"/>
        <w:ind w:leftChars="68" w:left="143" w:firstLineChars="200" w:firstLine="480"/>
        <w:jc w:val="left"/>
        <w:rPr>
          <w:rFonts w:ascii="仿宋_GB2312" w:eastAsia="仿宋_GB2312" w:hAnsi="仿宋" w:cs="宋体"/>
          <w:sz w:val="24"/>
          <w:szCs w:val="24"/>
        </w:rPr>
      </w:pPr>
      <w:r>
        <w:rPr>
          <w:rFonts w:ascii="仿宋_GB2312" w:eastAsia="仿宋_GB2312" w:hAnsi="仿宋" w:cs="宋体" w:hint="eastAsia"/>
          <w:sz w:val="24"/>
          <w:szCs w:val="24"/>
        </w:rPr>
        <w:t>1.</w:t>
      </w:r>
      <w:r>
        <w:rPr>
          <w:rFonts w:ascii="仿宋_GB2312" w:eastAsia="仿宋_GB2312" w:hAnsi="仿宋" w:cs="宋体" w:hint="eastAsia"/>
          <w:sz w:val="24"/>
          <w:szCs w:val="24"/>
        </w:rPr>
        <w:t>工商企业管理专业目前有专职教师</w:t>
      </w:r>
      <w:r>
        <w:rPr>
          <w:rFonts w:ascii="仿宋_GB2312" w:eastAsia="仿宋_GB2312" w:hAnsi="仿宋" w:cs="宋体" w:hint="eastAsia"/>
          <w:sz w:val="24"/>
          <w:szCs w:val="24"/>
        </w:rPr>
        <w:t>12</w:t>
      </w:r>
      <w:r>
        <w:rPr>
          <w:rFonts w:ascii="仿宋_GB2312" w:eastAsia="仿宋_GB2312" w:hAnsi="仿宋" w:cs="宋体" w:hint="eastAsia"/>
          <w:sz w:val="24"/>
          <w:szCs w:val="24"/>
        </w:rPr>
        <w:t>人，其中具有副教授及以上职称</w:t>
      </w:r>
      <w:r>
        <w:rPr>
          <w:rFonts w:ascii="仿宋_GB2312" w:eastAsia="仿宋_GB2312" w:hAnsi="仿宋" w:cs="宋体" w:hint="eastAsia"/>
          <w:sz w:val="24"/>
          <w:szCs w:val="24"/>
        </w:rPr>
        <w:t>2</w:t>
      </w:r>
      <w:r>
        <w:rPr>
          <w:rFonts w:ascii="仿宋_GB2312" w:eastAsia="仿宋_GB2312" w:hAnsi="仿宋" w:cs="宋体" w:hint="eastAsia"/>
          <w:sz w:val="24"/>
          <w:szCs w:val="24"/>
        </w:rPr>
        <w:t>人，</w:t>
      </w:r>
      <w:r>
        <w:rPr>
          <w:rFonts w:ascii="仿宋_GB2312" w:eastAsia="仿宋_GB2312" w:hAnsi="仿宋" w:cs="宋体" w:hint="eastAsia"/>
          <w:sz w:val="24"/>
          <w:szCs w:val="24"/>
        </w:rPr>
        <w:t xml:space="preserve"> 40</w:t>
      </w:r>
      <w:r>
        <w:rPr>
          <w:rFonts w:ascii="仿宋_GB2312" w:eastAsia="仿宋_GB2312" w:hAnsi="仿宋" w:cs="宋体" w:hint="eastAsia"/>
          <w:sz w:val="24"/>
          <w:szCs w:val="24"/>
        </w:rPr>
        <w:t>周岁以下年轻教师都取得了硕士研究生学历和学位。</w:t>
      </w:r>
    </w:p>
    <w:p w:rsidR="005C7064" w:rsidRDefault="00CA6BF1">
      <w:pPr>
        <w:adjustRightInd w:val="0"/>
        <w:snapToGrid w:val="0"/>
        <w:spacing w:beforeLines="50" w:before="120"/>
        <w:ind w:leftChars="67" w:left="141" w:firstLineChars="200" w:firstLine="480"/>
        <w:jc w:val="left"/>
        <w:rPr>
          <w:rFonts w:ascii="仿宋_GB2312" w:eastAsia="仿宋_GB2312" w:hAnsi="仿宋" w:cs="宋体"/>
          <w:sz w:val="24"/>
          <w:szCs w:val="24"/>
        </w:rPr>
      </w:pPr>
      <w:r>
        <w:rPr>
          <w:rFonts w:ascii="仿宋_GB2312" w:eastAsia="仿宋_GB2312" w:hAnsi="仿宋" w:cs="宋体" w:hint="eastAsia"/>
          <w:sz w:val="24"/>
          <w:szCs w:val="24"/>
        </w:rPr>
        <w:t>2.</w:t>
      </w:r>
      <w:r>
        <w:rPr>
          <w:rFonts w:ascii="仿宋_GB2312" w:eastAsia="仿宋_GB2312" w:hAnsi="仿宋" w:cs="宋体" w:hint="eastAsia"/>
          <w:sz w:val="24"/>
          <w:szCs w:val="24"/>
        </w:rPr>
        <w:t>工商企业管理专业目前还有一支来自于台州各中小企业的高层管理人员的兼职教师队伍，他们都来自工商企业管理的现场，具有</w:t>
      </w:r>
      <w:r>
        <w:rPr>
          <w:rFonts w:ascii="仿宋_GB2312" w:eastAsia="仿宋_GB2312" w:hAnsi="仿宋" w:cs="宋体" w:hint="eastAsia"/>
          <w:sz w:val="24"/>
          <w:szCs w:val="24"/>
        </w:rPr>
        <w:t>5</w:t>
      </w:r>
      <w:r>
        <w:rPr>
          <w:rFonts w:ascii="仿宋_GB2312" w:eastAsia="仿宋_GB2312" w:hAnsi="仿宋" w:cs="宋体" w:hint="eastAsia"/>
          <w:sz w:val="24"/>
          <w:szCs w:val="24"/>
        </w:rPr>
        <w:t>年以上企业一线工作经历，拥有中级以上工商管理类专业技术资格或中、高层领导职务，具有丰富的企业工作经验和一定的教学经验。</w:t>
      </w:r>
    </w:p>
    <w:p w:rsidR="005C7064" w:rsidRDefault="00CA6BF1">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（二）教学设施</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1.</w:t>
      </w:r>
      <w:r>
        <w:rPr>
          <w:rFonts w:ascii="仿宋_GB2312" w:eastAsia="仿宋_GB2312" w:hint="eastAsia"/>
          <w:sz w:val="24"/>
          <w:szCs w:val="24"/>
        </w:rPr>
        <w:t>校内实验实训基地</w:t>
      </w:r>
    </w:p>
    <w:p w:rsidR="005C7064" w:rsidRDefault="00CA6BF1">
      <w:pPr>
        <w:adjustRightInd w:val="0"/>
        <w:snapToGrid w:val="0"/>
        <w:ind w:firstLineChars="200" w:firstLine="480"/>
        <w:rPr>
          <w:rFonts w:ascii="仿宋_GB2312" w:eastAsia="仿宋_GB2312" w:hAnsi="仿宋" w:cs="宋体"/>
          <w:sz w:val="24"/>
          <w:szCs w:val="24"/>
        </w:rPr>
      </w:pPr>
      <w:r>
        <w:rPr>
          <w:rFonts w:ascii="仿宋_GB2312" w:eastAsia="仿宋_GB2312" w:hAnsi="仿宋" w:cs="宋体" w:hint="eastAsia"/>
          <w:sz w:val="24"/>
          <w:szCs w:val="24"/>
        </w:rPr>
        <w:t>校内基地需要满足本专业实训所需要的电脑、课桌椅等硬件以及实训所需要的软件等要求，具备良好的网络环境，按</w:t>
      </w:r>
      <w:r>
        <w:rPr>
          <w:rFonts w:ascii="仿宋_GB2312" w:eastAsia="仿宋_GB2312" w:hAnsi="仿宋" w:cs="宋体" w:hint="eastAsia"/>
          <w:sz w:val="24"/>
          <w:szCs w:val="24"/>
        </w:rPr>
        <w:t>50</w:t>
      </w:r>
      <w:r>
        <w:rPr>
          <w:rFonts w:ascii="仿宋_GB2312" w:eastAsia="仿宋_GB2312" w:hAnsi="仿宋" w:cs="宋体" w:hint="eastAsia"/>
          <w:sz w:val="24"/>
          <w:szCs w:val="24"/>
        </w:rPr>
        <w:t>人为自然班，具体配置要求如下。</w:t>
      </w:r>
    </w:p>
    <w:p w:rsidR="005C7064" w:rsidRDefault="00CA6BF1">
      <w:pPr>
        <w:adjustRightInd w:val="0"/>
        <w:snapToGrid w:val="0"/>
        <w:ind w:firstLineChars="200" w:firstLine="480"/>
        <w:jc w:val="center"/>
        <w:rPr>
          <w:rFonts w:ascii="仿宋_GB2312" w:eastAsia="仿宋_GB2312" w:hAnsi="仿宋"/>
          <w:sz w:val="24"/>
          <w:szCs w:val="24"/>
        </w:rPr>
      </w:pPr>
      <w:r>
        <w:rPr>
          <w:rFonts w:ascii="仿宋_GB2312" w:eastAsia="仿宋_GB2312" w:hint="eastAsia"/>
          <w:sz w:val="24"/>
          <w:szCs w:val="24"/>
        </w:rPr>
        <w:t>表</w:t>
      </w:r>
      <w:r>
        <w:rPr>
          <w:rFonts w:ascii="仿宋_GB2312" w:eastAsia="仿宋_GB2312" w:hint="eastAsia"/>
          <w:sz w:val="24"/>
          <w:szCs w:val="24"/>
        </w:rPr>
        <w:t xml:space="preserve">10  </w:t>
      </w:r>
      <w:r>
        <w:rPr>
          <w:rFonts w:ascii="仿宋_GB2312" w:eastAsia="仿宋_GB2312" w:hint="eastAsia"/>
          <w:sz w:val="24"/>
          <w:szCs w:val="24"/>
        </w:rPr>
        <w:t>校内实验实训基地列表</w:t>
      </w: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3458"/>
        <w:gridCol w:w="1808"/>
      </w:tblGrid>
      <w:tr w:rsidR="005C7064">
        <w:trPr>
          <w:trHeight w:val="422"/>
          <w:tblHeader/>
          <w:jc w:val="center"/>
        </w:trPr>
        <w:tc>
          <w:tcPr>
            <w:tcW w:w="993"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序号</w:t>
            </w:r>
          </w:p>
        </w:tc>
        <w:tc>
          <w:tcPr>
            <w:tcW w:w="2835"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实</w:t>
            </w:r>
            <w:proofErr w:type="gramStart"/>
            <w:r>
              <w:rPr>
                <w:rFonts w:ascii="仿宋_GB2312" w:eastAsia="仿宋_GB2312" w:hint="eastAsia"/>
                <w:sz w:val="24"/>
                <w:szCs w:val="24"/>
              </w:rPr>
              <w:t>训项目</w:t>
            </w:r>
            <w:proofErr w:type="gramEnd"/>
          </w:p>
        </w:tc>
        <w:tc>
          <w:tcPr>
            <w:tcW w:w="3458"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主要设备名称</w:t>
            </w:r>
          </w:p>
        </w:tc>
        <w:tc>
          <w:tcPr>
            <w:tcW w:w="1808"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数量</w:t>
            </w:r>
            <w:r>
              <w:rPr>
                <w:rFonts w:ascii="仿宋_GB2312" w:eastAsia="仿宋_GB2312" w:hint="eastAsia"/>
                <w:sz w:val="24"/>
                <w:szCs w:val="24"/>
              </w:rPr>
              <w:t>(</w:t>
            </w:r>
            <w:r>
              <w:rPr>
                <w:rFonts w:ascii="仿宋_GB2312" w:eastAsia="仿宋_GB2312" w:hint="eastAsia"/>
                <w:sz w:val="24"/>
                <w:szCs w:val="24"/>
              </w:rPr>
              <w:t>台</w:t>
            </w:r>
            <w:r>
              <w:rPr>
                <w:rFonts w:ascii="仿宋_GB2312" w:eastAsia="仿宋_GB2312" w:hint="eastAsia"/>
                <w:sz w:val="24"/>
                <w:szCs w:val="24"/>
              </w:rPr>
              <w:t>/</w:t>
            </w:r>
            <w:r>
              <w:rPr>
                <w:rFonts w:ascii="仿宋_GB2312" w:eastAsia="仿宋_GB2312" w:hint="eastAsia"/>
                <w:sz w:val="24"/>
                <w:szCs w:val="24"/>
              </w:rPr>
              <w:t>套</w:t>
            </w:r>
            <w:r>
              <w:rPr>
                <w:rFonts w:ascii="仿宋_GB2312" w:eastAsia="仿宋_GB2312" w:hint="eastAsia"/>
                <w:sz w:val="24"/>
                <w:szCs w:val="24"/>
              </w:rPr>
              <w:t>)</w:t>
            </w:r>
          </w:p>
        </w:tc>
      </w:tr>
      <w:tr w:rsidR="005C7064">
        <w:trPr>
          <w:trHeight w:val="340"/>
          <w:jc w:val="center"/>
        </w:trPr>
        <w:tc>
          <w:tcPr>
            <w:tcW w:w="993"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2835"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rPr>
                <w:rFonts w:ascii="仿宋_GB2312" w:eastAsia="仿宋_GB2312"/>
                <w:sz w:val="24"/>
                <w:szCs w:val="24"/>
              </w:rPr>
            </w:pPr>
            <w:r>
              <w:rPr>
                <w:rFonts w:ascii="仿宋_GB2312" w:eastAsia="仿宋_GB2312" w:hint="eastAsia"/>
                <w:sz w:val="24"/>
                <w:szCs w:val="24"/>
              </w:rPr>
              <w:t>企业经营决策模拟</w:t>
            </w:r>
          </w:p>
        </w:tc>
        <w:tc>
          <w:tcPr>
            <w:tcW w:w="3458"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rPr>
                <w:rFonts w:ascii="仿宋_GB2312" w:eastAsia="仿宋_GB2312"/>
                <w:sz w:val="24"/>
                <w:szCs w:val="24"/>
              </w:rPr>
            </w:pPr>
            <w:r>
              <w:rPr>
                <w:rFonts w:ascii="仿宋_GB2312" w:eastAsia="仿宋_GB2312" w:hint="eastAsia"/>
                <w:sz w:val="24"/>
                <w:szCs w:val="24"/>
              </w:rPr>
              <w:t>计算机、百</w:t>
            </w:r>
            <w:proofErr w:type="gramStart"/>
            <w:r>
              <w:rPr>
                <w:rFonts w:ascii="仿宋_GB2312" w:eastAsia="仿宋_GB2312" w:hint="eastAsia"/>
                <w:sz w:val="24"/>
                <w:szCs w:val="24"/>
              </w:rPr>
              <w:t>树电子</w:t>
            </w:r>
            <w:proofErr w:type="gramEnd"/>
            <w:r>
              <w:rPr>
                <w:rFonts w:ascii="仿宋_GB2312" w:eastAsia="仿宋_GB2312" w:hint="eastAsia"/>
                <w:sz w:val="24"/>
                <w:szCs w:val="24"/>
              </w:rPr>
              <w:t>沙盘</w:t>
            </w:r>
          </w:p>
        </w:tc>
        <w:tc>
          <w:tcPr>
            <w:tcW w:w="1808"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50</w:t>
            </w:r>
          </w:p>
        </w:tc>
      </w:tr>
      <w:tr w:rsidR="005C7064">
        <w:trPr>
          <w:trHeight w:val="340"/>
          <w:jc w:val="center"/>
        </w:trPr>
        <w:tc>
          <w:tcPr>
            <w:tcW w:w="993"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2</w:t>
            </w:r>
          </w:p>
        </w:tc>
        <w:tc>
          <w:tcPr>
            <w:tcW w:w="2835"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rPr>
                <w:rFonts w:ascii="仿宋_GB2312" w:eastAsia="仿宋_GB2312"/>
                <w:sz w:val="24"/>
                <w:szCs w:val="24"/>
              </w:rPr>
            </w:pPr>
            <w:r>
              <w:rPr>
                <w:rFonts w:ascii="仿宋_GB2312" w:eastAsia="仿宋_GB2312" w:hint="eastAsia"/>
                <w:sz w:val="24"/>
                <w:szCs w:val="24"/>
              </w:rPr>
              <w:t>企业模拟综合实训</w:t>
            </w:r>
          </w:p>
        </w:tc>
        <w:tc>
          <w:tcPr>
            <w:tcW w:w="3458"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rPr>
                <w:rFonts w:ascii="仿宋_GB2312" w:eastAsia="仿宋_GB2312"/>
                <w:sz w:val="24"/>
                <w:szCs w:val="24"/>
              </w:rPr>
            </w:pPr>
            <w:r>
              <w:rPr>
                <w:rFonts w:ascii="仿宋_GB2312" w:eastAsia="仿宋_GB2312" w:hint="eastAsia"/>
                <w:sz w:val="24"/>
                <w:szCs w:val="24"/>
              </w:rPr>
              <w:t>计算机</w:t>
            </w:r>
          </w:p>
        </w:tc>
        <w:tc>
          <w:tcPr>
            <w:tcW w:w="1808"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71</w:t>
            </w:r>
          </w:p>
        </w:tc>
      </w:tr>
      <w:tr w:rsidR="005C7064">
        <w:trPr>
          <w:trHeight w:val="34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3</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rPr>
                <w:rFonts w:ascii="仿宋_GB2312" w:eastAsia="仿宋_GB2312"/>
                <w:sz w:val="24"/>
                <w:szCs w:val="24"/>
              </w:rPr>
            </w:pPr>
            <w:r>
              <w:rPr>
                <w:rFonts w:ascii="仿宋_GB2312" w:eastAsia="仿宋_GB2312" w:hint="eastAsia"/>
                <w:sz w:val="24"/>
                <w:szCs w:val="24"/>
              </w:rPr>
              <w:t>企业沙盘实训</w:t>
            </w:r>
          </w:p>
        </w:tc>
        <w:tc>
          <w:tcPr>
            <w:tcW w:w="3458"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rPr>
                <w:rFonts w:ascii="仿宋_GB2312" w:eastAsia="仿宋_GB2312"/>
                <w:sz w:val="24"/>
                <w:szCs w:val="24"/>
              </w:rPr>
            </w:pPr>
            <w:r>
              <w:rPr>
                <w:rFonts w:ascii="仿宋_GB2312" w:eastAsia="仿宋_GB2312" w:hint="eastAsia"/>
                <w:sz w:val="24"/>
                <w:szCs w:val="24"/>
              </w:rPr>
              <w:t>计算机</w:t>
            </w:r>
          </w:p>
        </w:tc>
        <w:tc>
          <w:tcPr>
            <w:tcW w:w="1808"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60</w:t>
            </w:r>
          </w:p>
        </w:tc>
      </w:tr>
      <w:tr w:rsidR="005C7064">
        <w:trPr>
          <w:trHeight w:val="340"/>
          <w:jc w:val="center"/>
        </w:trPr>
        <w:tc>
          <w:tcPr>
            <w:tcW w:w="993" w:type="dxa"/>
            <w:vMerge/>
            <w:tcBorders>
              <w:top w:val="single" w:sz="4" w:space="0" w:color="auto"/>
              <w:left w:val="single" w:sz="4" w:space="0" w:color="auto"/>
              <w:bottom w:val="single" w:sz="4" w:space="0" w:color="auto"/>
              <w:right w:val="single" w:sz="4" w:space="0" w:color="auto"/>
            </w:tcBorders>
            <w:vAlign w:val="center"/>
          </w:tcPr>
          <w:p w:rsidR="005C7064" w:rsidRDefault="005C7064">
            <w:pPr>
              <w:adjustRightInd w:val="0"/>
              <w:snapToGrid w:val="0"/>
              <w:rPr>
                <w:rFonts w:ascii="仿宋_GB2312" w:eastAsia="仿宋_GB2312"/>
                <w:sz w:val="24"/>
                <w:szCs w:val="24"/>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5C7064" w:rsidRDefault="005C7064">
            <w:pPr>
              <w:adjustRightInd w:val="0"/>
              <w:snapToGrid w:val="0"/>
              <w:rPr>
                <w:rFonts w:ascii="仿宋_GB2312" w:eastAsia="仿宋_GB2312"/>
                <w:sz w:val="24"/>
                <w:szCs w:val="24"/>
              </w:rPr>
            </w:pPr>
          </w:p>
        </w:tc>
        <w:tc>
          <w:tcPr>
            <w:tcW w:w="3458"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rPr>
                <w:rFonts w:ascii="仿宋_GB2312" w:eastAsia="仿宋_GB2312"/>
                <w:sz w:val="24"/>
                <w:szCs w:val="24"/>
              </w:rPr>
            </w:pPr>
            <w:r>
              <w:rPr>
                <w:rFonts w:ascii="仿宋_GB2312" w:eastAsia="仿宋_GB2312" w:hint="eastAsia"/>
                <w:sz w:val="24"/>
                <w:szCs w:val="24"/>
              </w:rPr>
              <w:t>企业经营管理沙盘模拟系统</w:t>
            </w:r>
          </w:p>
        </w:tc>
        <w:tc>
          <w:tcPr>
            <w:tcW w:w="1808"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tc>
      </w:tr>
    </w:tbl>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2.</w:t>
      </w:r>
      <w:r>
        <w:rPr>
          <w:rFonts w:ascii="仿宋_GB2312" w:eastAsia="仿宋_GB2312" w:hint="eastAsia"/>
          <w:sz w:val="24"/>
          <w:szCs w:val="24"/>
        </w:rPr>
        <w:t>校外实训实习基地</w:t>
      </w:r>
    </w:p>
    <w:p w:rsidR="005C7064" w:rsidRDefault="00CA6BF1">
      <w:pPr>
        <w:adjustRightInd w:val="0"/>
        <w:snapToGrid w:val="0"/>
        <w:ind w:firstLineChars="200" w:firstLine="480"/>
        <w:jc w:val="center"/>
        <w:rPr>
          <w:rFonts w:ascii="仿宋_GB2312" w:eastAsia="仿宋_GB2312"/>
          <w:sz w:val="24"/>
          <w:szCs w:val="24"/>
        </w:rPr>
      </w:pPr>
      <w:r>
        <w:rPr>
          <w:rFonts w:ascii="仿宋_GB2312" w:eastAsia="仿宋_GB2312" w:hint="eastAsia"/>
          <w:sz w:val="24"/>
          <w:szCs w:val="24"/>
        </w:rPr>
        <w:t>表</w:t>
      </w:r>
      <w:r>
        <w:rPr>
          <w:rFonts w:ascii="仿宋_GB2312" w:eastAsia="仿宋_GB2312" w:hint="eastAsia"/>
          <w:sz w:val="24"/>
          <w:szCs w:val="24"/>
        </w:rPr>
        <w:t xml:space="preserve">11  </w:t>
      </w:r>
      <w:r>
        <w:rPr>
          <w:rFonts w:ascii="仿宋_GB2312" w:eastAsia="仿宋_GB2312" w:hint="eastAsia"/>
          <w:sz w:val="24"/>
          <w:szCs w:val="24"/>
        </w:rPr>
        <w:t>校外实训实习基地列表</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5"/>
        <w:gridCol w:w="1134"/>
        <w:gridCol w:w="2154"/>
        <w:gridCol w:w="1587"/>
        <w:gridCol w:w="1559"/>
        <w:gridCol w:w="1553"/>
      </w:tblGrid>
      <w:tr w:rsidR="005C7064">
        <w:trPr>
          <w:trHeight w:val="125"/>
          <w:jc w:val="center"/>
        </w:trPr>
        <w:tc>
          <w:tcPr>
            <w:tcW w:w="1135"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序号</w:t>
            </w:r>
          </w:p>
        </w:tc>
        <w:tc>
          <w:tcPr>
            <w:tcW w:w="1134"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企业类型</w:t>
            </w:r>
          </w:p>
        </w:tc>
        <w:tc>
          <w:tcPr>
            <w:tcW w:w="2154"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数量</w:t>
            </w:r>
          </w:p>
        </w:tc>
        <w:tc>
          <w:tcPr>
            <w:tcW w:w="1587"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主要实习功能</w:t>
            </w:r>
          </w:p>
        </w:tc>
        <w:tc>
          <w:tcPr>
            <w:tcW w:w="1559"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接纳学生人数</w:t>
            </w:r>
          </w:p>
        </w:tc>
        <w:tc>
          <w:tcPr>
            <w:tcW w:w="1553"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备注</w:t>
            </w:r>
          </w:p>
        </w:tc>
      </w:tr>
      <w:tr w:rsidR="005C7064">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制造型企业</w:t>
            </w:r>
          </w:p>
        </w:tc>
        <w:tc>
          <w:tcPr>
            <w:tcW w:w="2154"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星星集团、永高股份、杰克公司、百达集团、</w:t>
            </w:r>
            <w:proofErr w:type="gramStart"/>
            <w:r>
              <w:rPr>
                <w:rFonts w:ascii="仿宋_GB2312" w:eastAsia="仿宋_GB2312" w:hint="eastAsia"/>
                <w:sz w:val="24"/>
                <w:szCs w:val="24"/>
              </w:rPr>
              <w:t>晖腾科技</w:t>
            </w:r>
            <w:proofErr w:type="gramEnd"/>
            <w:r>
              <w:rPr>
                <w:rFonts w:ascii="仿宋_GB2312" w:eastAsia="仿宋_GB2312" w:hint="eastAsia"/>
                <w:sz w:val="24"/>
                <w:szCs w:val="24"/>
              </w:rPr>
              <w:t>等协议企业</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职业素养训导；专业技能训练；综合技能训练</w:t>
            </w:r>
          </w:p>
        </w:tc>
        <w:tc>
          <w:tcPr>
            <w:tcW w:w="1559"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至少接受</w:t>
            </w:r>
            <w:r>
              <w:rPr>
                <w:rFonts w:ascii="仿宋_GB2312" w:eastAsia="仿宋_GB2312" w:hint="eastAsia"/>
                <w:sz w:val="24"/>
                <w:szCs w:val="24"/>
              </w:rPr>
              <w:t>35%</w:t>
            </w:r>
            <w:r>
              <w:rPr>
                <w:rFonts w:ascii="仿宋_GB2312" w:eastAsia="仿宋_GB2312" w:hint="eastAsia"/>
                <w:sz w:val="24"/>
                <w:szCs w:val="24"/>
              </w:rPr>
              <w:t>的实习学生</w:t>
            </w:r>
          </w:p>
        </w:tc>
        <w:tc>
          <w:tcPr>
            <w:tcW w:w="1553" w:type="dxa"/>
            <w:vMerge w:val="restart"/>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因企业对管理类岗位接受能力有限，所以学生实习单位较为分散</w:t>
            </w:r>
          </w:p>
        </w:tc>
      </w:tr>
      <w:tr w:rsidR="005C7064">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商业</w:t>
            </w:r>
          </w:p>
        </w:tc>
        <w:tc>
          <w:tcPr>
            <w:tcW w:w="2154"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泰隆银行、永辉超市、世纪联华、</w:t>
            </w:r>
            <w:r>
              <w:rPr>
                <w:rFonts w:ascii="仿宋_GB2312" w:eastAsia="仿宋_GB2312" w:hint="eastAsia"/>
                <w:color w:val="000000" w:themeColor="text1"/>
                <w:sz w:val="24"/>
                <w:szCs w:val="24"/>
              </w:rPr>
              <w:t>麦当劳</w:t>
            </w:r>
            <w:r>
              <w:rPr>
                <w:rFonts w:ascii="仿宋_GB2312" w:eastAsia="仿宋_GB2312" w:hint="eastAsia"/>
                <w:sz w:val="24"/>
                <w:szCs w:val="24"/>
              </w:rPr>
              <w:t>等协议企业</w:t>
            </w:r>
          </w:p>
        </w:tc>
        <w:tc>
          <w:tcPr>
            <w:tcW w:w="1587" w:type="dxa"/>
            <w:vMerge/>
            <w:tcBorders>
              <w:top w:val="single" w:sz="4" w:space="0" w:color="auto"/>
              <w:left w:val="single" w:sz="4" w:space="0" w:color="auto"/>
              <w:bottom w:val="single" w:sz="4" w:space="0" w:color="auto"/>
              <w:right w:val="single" w:sz="4" w:space="0" w:color="auto"/>
            </w:tcBorders>
            <w:vAlign w:val="center"/>
          </w:tcPr>
          <w:p w:rsidR="005C7064" w:rsidRDefault="005C7064">
            <w:pPr>
              <w:adjustRightInd w:val="0"/>
              <w:snapToGrid w:val="0"/>
              <w:jc w:val="center"/>
              <w:rPr>
                <w:rFonts w:ascii="仿宋_GB2312" w:eastAsia="仿宋_GB2312"/>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C7064" w:rsidRDefault="00CA6BF1">
            <w:pPr>
              <w:adjustRightInd w:val="0"/>
              <w:snapToGrid w:val="0"/>
              <w:jc w:val="center"/>
              <w:rPr>
                <w:rFonts w:ascii="仿宋_GB2312" w:eastAsia="仿宋_GB2312"/>
                <w:sz w:val="24"/>
                <w:szCs w:val="24"/>
              </w:rPr>
            </w:pPr>
            <w:r>
              <w:rPr>
                <w:rFonts w:ascii="仿宋_GB2312" w:eastAsia="仿宋_GB2312" w:hint="eastAsia"/>
                <w:sz w:val="24"/>
                <w:szCs w:val="24"/>
              </w:rPr>
              <w:t>至少接受</w:t>
            </w:r>
            <w:r>
              <w:rPr>
                <w:rFonts w:ascii="仿宋_GB2312" w:eastAsia="仿宋_GB2312" w:hint="eastAsia"/>
                <w:sz w:val="24"/>
                <w:szCs w:val="24"/>
              </w:rPr>
              <w:t>35%</w:t>
            </w:r>
            <w:r>
              <w:rPr>
                <w:rFonts w:ascii="仿宋_GB2312" w:eastAsia="仿宋_GB2312" w:hint="eastAsia"/>
                <w:sz w:val="24"/>
                <w:szCs w:val="24"/>
              </w:rPr>
              <w:t>实习学生</w:t>
            </w:r>
          </w:p>
        </w:tc>
        <w:tc>
          <w:tcPr>
            <w:tcW w:w="1553" w:type="dxa"/>
            <w:vMerge/>
            <w:tcBorders>
              <w:top w:val="single" w:sz="4" w:space="0" w:color="auto"/>
              <w:left w:val="single" w:sz="4" w:space="0" w:color="auto"/>
              <w:bottom w:val="single" w:sz="4" w:space="0" w:color="auto"/>
              <w:right w:val="single" w:sz="4" w:space="0" w:color="auto"/>
            </w:tcBorders>
            <w:vAlign w:val="center"/>
          </w:tcPr>
          <w:p w:rsidR="005C7064" w:rsidRDefault="005C7064">
            <w:pPr>
              <w:adjustRightInd w:val="0"/>
              <w:snapToGrid w:val="0"/>
              <w:jc w:val="center"/>
              <w:rPr>
                <w:rFonts w:ascii="仿宋_GB2312" w:eastAsia="仿宋_GB2312"/>
                <w:sz w:val="24"/>
                <w:szCs w:val="24"/>
              </w:rPr>
            </w:pPr>
          </w:p>
        </w:tc>
      </w:tr>
    </w:tbl>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sz w:val="24"/>
          <w:szCs w:val="24"/>
        </w:rPr>
        <w:t>3.</w:t>
      </w:r>
      <w:r>
        <w:rPr>
          <w:rFonts w:ascii="仿宋_GB2312" w:eastAsia="仿宋_GB2312" w:hint="eastAsia"/>
          <w:sz w:val="24"/>
          <w:szCs w:val="24"/>
        </w:rPr>
        <w:t>支持信息化教学条件</w:t>
      </w:r>
    </w:p>
    <w:p w:rsidR="005C7064" w:rsidRDefault="00CA6BF1">
      <w:pPr>
        <w:adjustRightInd w:val="0"/>
        <w:snapToGrid w:val="0"/>
        <w:ind w:firstLineChars="200" w:firstLine="480"/>
        <w:jc w:val="left"/>
        <w:rPr>
          <w:rFonts w:ascii="仿宋_GB2312" w:eastAsia="仿宋_GB2312"/>
          <w:sz w:val="24"/>
          <w:szCs w:val="24"/>
        </w:rPr>
      </w:pPr>
      <w:r>
        <w:rPr>
          <w:rFonts w:ascii="仿宋_GB2312" w:eastAsia="仿宋_GB2312" w:hAnsi="仿宋" w:cs="宋体" w:hint="eastAsia"/>
          <w:sz w:val="24"/>
          <w:szCs w:val="24"/>
        </w:rPr>
        <w:t>本专业注重信息化教学，所有教师</w:t>
      </w:r>
      <w:proofErr w:type="gramStart"/>
      <w:r>
        <w:rPr>
          <w:rFonts w:ascii="仿宋_GB2312" w:eastAsia="仿宋_GB2312" w:hAnsi="仿宋" w:cs="宋体" w:hint="eastAsia"/>
          <w:sz w:val="24"/>
          <w:szCs w:val="24"/>
        </w:rPr>
        <w:t>均应用超星学习通</w:t>
      </w:r>
      <w:proofErr w:type="gramEnd"/>
      <w:r>
        <w:rPr>
          <w:rFonts w:ascii="仿宋_GB2312" w:eastAsia="仿宋_GB2312" w:hAnsi="仿宋" w:cs="宋体" w:hint="eastAsia"/>
          <w:sz w:val="24"/>
          <w:szCs w:val="24"/>
        </w:rPr>
        <w:t>、蓝墨云等</w:t>
      </w:r>
      <w:r>
        <w:rPr>
          <w:rFonts w:ascii="仿宋_GB2312" w:eastAsia="仿宋_GB2312" w:hAnsi="仿宋" w:cs="宋体" w:hint="eastAsia"/>
          <w:sz w:val="24"/>
          <w:szCs w:val="24"/>
        </w:rPr>
        <w:t>APP</w:t>
      </w:r>
      <w:r>
        <w:rPr>
          <w:rFonts w:ascii="仿宋_GB2312" w:eastAsia="仿宋_GB2312" w:hAnsi="仿宋" w:cs="宋体" w:hint="eastAsia"/>
          <w:sz w:val="24"/>
          <w:szCs w:val="24"/>
        </w:rPr>
        <w:t>实现课堂签到、教学互动、作业或任务布置与实施、线上小测验、答疑讨论、课程考试等。本专业注重线上线下教学结合，采购了</w:t>
      </w:r>
      <w:r>
        <w:rPr>
          <w:rFonts w:ascii="仿宋_GB2312" w:eastAsia="仿宋_GB2312" w:hAnsi="仿宋" w:cs="宋体" w:hint="eastAsia"/>
          <w:sz w:val="24"/>
          <w:szCs w:val="24"/>
        </w:rPr>
        <w:t>ITMC</w:t>
      </w:r>
      <w:r>
        <w:rPr>
          <w:rFonts w:ascii="仿宋_GB2312" w:eastAsia="仿宋_GB2312" w:hAnsi="仿宋" w:cs="宋体" w:hint="eastAsia"/>
          <w:sz w:val="24"/>
          <w:szCs w:val="24"/>
        </w:rPr>
        <w:t>电子沙盘系统、百</w:t>
      </w:r>
      <w:proofErr w:type="gramStart"/>
      <w:r>
        <w:rPr>
          <w:rFonts w:ascii="仿宋_GB2312" w:eastAsia="仿宋_GB2312" w:hAnsi="仿宋" w:cs="宋体" w:hint="eastAsia"/>
          <w:sz w:val="24"/>
          <w:szCs w:val="24"/>
        </w:rPr>
        <w:t>树电子</w:t>
      </w:r>
      <w:proofErr w:type="gramEnd"/>
      <w:r>
        <w:rPr>
          <w:rFonts w:ascii="仿宋_GB2312" w:eastAsia="仿宋_GB2312" w:hAnsi="仿宋" w:cs="宋体" w:hint="eastAsia"/>
          <w:sz w:val="24"/>
          <w:szCs w:val="24"/>
        </w:rPr>
        <w:t>沙盘等虚拟仿真软件，学生可通过课堂学习、竞赛培训等途径，掌握软件操作技能，综合运用课堂所学理论知识，模拟企业日常运营，掌握企业基本业务的能力，时刻跟踪企业运行状况，对企业业务运行过程进行控制和监督，培养学生解决实际问题的能力。</w:t>
      </w:r>
    </w:p>
    <w:p w:rsidR="005C7064" w:rsidRDefault="00CA6BF1">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（三）教材</w:t>
      </w:r>
      <w:r>
        <w:rPr>
          <w:rFonts w:ascii="楷体" w:eastAsia="楷体" w:hAnsi="楷体"/>
          <w:color w:val="000000"/>
          <w:sz w:val="24"/>
          <w:szCs w:val="24"/>
        </w:rPr>
        <w:t>及图书</w:t>
      </w:r>
      <w:r>
        <w:rPr>
          <w:rFonts w:ascii="楷体" w:eastAsia="楷体" w:hAnsi="楷体" w:hint="eastAsia"/>
          <w:color w:val="000000"/>
          <w:sz w:val="24"/>
          <w:szCs w:val="24"/>
        </w:rPr>
        <w:t>、</w:t>
      </w:r>
      <w:r>
        <w:rPr>
          <w:rFonts w:ascii="楷体" w:eastAsia="楷体" w:hAnsi="楷体"/>
          <w:color w:val="000000"/>
          <w:sz w:val="24"/>
          <w:szCs w:val="24"/>
        </w:rPr>
        <w:t>数字化</w:t>
      </w:r>
      <w:r>
        <w:rPr>
          <w:rFonts w:ascii="楷体" w:eastAsia="楷体" w:hAnsi="楷体" w:hint="eastAsia"/>
          <w:color w:val="000000"/>
          <w:sz w:val="24"/>
          <w:szCs w:val="24"/>
        </w:rPr>
        <w:t>（网络）资料等学习资源</w:t>
      </w:r>
    </w:p>
    <w:p w:rsidR="005C7064" w:rsidRDefault="00CA6BF1">
      <w:pPr>
        <w:adjustRightInd w:val="0"/>
        <w:snapToGrid w:val="0"/>
        <w:ind w:firstLineChars="200" w:firstLine="480"/>
        <w:rPr>
          <w:rFonts w:ascii="仿宋_GB2312" w:eastAsia="仿宋_GB2312" w:hAnsi="仿宋"/>
          <w:sz w:val="24"/>
          <w:szCs w:val="24"/>
        </w:rPr>
      </w:pPr>
      <w:r>
        <w:rPr>
          <w:rFonts w:ascii="仿宋_GB2312" w:eastAsia="仿宋_GB2312" w:hint="eastAsia"/>
          <w:sz w:val="24"/>
          <w:szCs w:val="24"/>
        </w:rPr>
        <w:t>1.</w:t>
      </w:r>
      <w:r>
        <w:rPr>
          <w:rFonts w:ascii="仿宋_GB2312" w:eastAsia="仿宋_GB2312" w:hAnsi="仿宋" w:cs="宋体" w:hint="eastAsia"/>
          <w:sz w:val="24"/>
          <w:szCs w:val="24"/>
        </w:rPr>
        <w:t>教材</w:t>
      </w:r>
    </w:p>
    <w:p w:rsidR="005C7064" w:rsidRDefault="00CA6BF1">
      <w:pPr>
        <w:adjustRightInd w:val="0"/>
        <w:snapToGrid w:val="0"/>
        <w:ind w:firstLineChars="200" w:firstLine="480"/>
        <w:rPr>
          <w:rFonts w:ascii="仿宋_GB2312" w:eastAsia="仿宋_GB2312" w:hAnsi="仿宋"/>
          <w:sz w:val="24"/>
          <w:szCs w:val="24"/>
        </w:rPr>
      </w:pPr>
      <w:r>
        <w:rPr>
          <w:rFonts w:ascii="仿宋_GB2312" w:eastAsia="仿宋_GB2312" w:hAnsi="仿宋" w:cs="宋体" w:hint="eastAsia"/>
          <w:sz w:val="24"/>
          <w:szCs w:val="24"/>
        </w:rPr>
        <w:t>以岗位职业能力分析为基础，校企合作共同编写基于工作过程的教材，或采用有利于职业能力培养的高职教材。</w:t>
      </w:r>
    </w:p>
    <w:p w:rsidR="005C7064" w:rsidRDefault="00CA6BF1">
      <w:pPr>
        <w:adjustRightInd w:val="0"/>
        <w:snapToGrid w:val="0"/>
        <w:ind w:firstLineChars="200" w:firstLine="480"/>
        <w:rPr>
          <w:rFonts w:ascii="仿宋_GB2312" w:eastAsia="仿宋_GB2312" w:hAnsi="仿宋"/>
          <w:sz w:val="24"/>
          <w:szCs w:val="24"/>
        </w:rPr>
      </w:pPr>
      <w:r>
        <w:rPr>
          <w:rFonts w:ascii="仿宋_GB2312" w:eastAsia="仿宋_GB2312" w:hAnsi="仿宋" w:cs="宋体" w:hint="eastAsia"/>
          <w:sz w:val="24"/>
          <w:szCs w:val="24"/>
        </w:rPr>
        <w:t>2.</w:t>
      </w:r>
      <w:r>
        <w:rPr>
          <w:rFonts w:ascii="仿宋_GB2312" w:eastAsia="仿宋_GB2312" w:hAnsi="仿宋" w:cs="宋体" w:hint="eastAsia"/>
          <w:sz w:val="24"/>
          <w:szCs w:val="24"/>
        </w:rPr>
        <w:t>图示及数字化资料</w:t>
      </w:r>
    </w:p>
    <w:p w:rsidR="005C7064" w:rsidRDefault="00CA6BF1">
      <w:pPr>
        <w:adjustRightInd w:val="0"/>
        <w:snapToGrid w:val="0"/>
        <w:ind w:firstLineChars="200" w:firstLine="480"/>
        <w:rPr>
          <w:rFonts w:ascii="仿宋_GB2312" w:eastAsia="仿宋_GB2312" w:hAnsi="仿宋"/>
          <w:sz w:val="24"/>
          <w:szCs w:val="24"/>
        </w:rPr>
      </w:pPr>
      <w:r>
        <w:rPr>
          <w:rFonts w:ascii="仿宋_GB2312" w:eastAsia="仿宋_GB2312" w:hAnsi="仿宋" w:cs="宋体" w:hint="eastAsia"/>
          <w:sz w:val="24"/>
          <w:szCs w:val="24"/>
        </w:rPr>
        <w:t>依托学院资料室和学校图书馆，依托尔雅教学平台建立课程网站，百度等网络收索引擎。</w:t>
      </w:r>
    </w:p>
    <w:p w:rsidR="005C7064" w:rsidRDefault="00CA6BF1">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（四）教学方法、手段与教学组织形式建议</w:t>
      </w:r>
    </w:p>
    <w:p w:rsidR="005C7064" w:rsidRDefault="00CA6BF1">
      <w:pPr>
        <w:adjustRightInd w:val="0"/>
        <w:snapToGrid w:val="0"/>
        <w:ind w:firstLineChars="200" w:firstLine="480"/>
        <w:rPr>
          <w:rFonts w:ascii="仿宋_GB2312" w:eastAsia="仿宋_GB2312" w:hAnsi="仿宋" w:cs="宋体"/>
          <w:sz w:val="24"/>
          <w:szCs w:val="24"/>
        </w:rPr>
      </w:pPr>
      <w:r>
        <w:rPr>
          <w:rFonts w:ascii="仿宋_GB2312" w:eastAsia="仿宋_GB2312" w:hAnsi="仿宋" w:cs="宋体" w:hint="eastAsia"/>
          <w:sz w:val="24"/>
          <w:szCs w:val="24"/>
        </w:rPr>
        <w:lastRenderedPageBreak/>
        <w:t>1.</w:t>
      </w:r>
      <w:r>
        <w:rPr>
          <w:rFonts w:ascii="仿宋_GB2312" w:eastAsia="仿宋_GB2312" w:hAnsi="仿宋" w:cs="宋体" w:hint="eastAsia"/>
          <w:sz w:val="24"/>
          <w:szCs w:val="24"/>
        </w:rPr>
        <w:t>教学方法</w:t>
      </w:r>
    </w:p>
    <w:p w:rsidR="005C7064" w:rsidRDefault="00CA6BF1">
      <w:pPr>
        <w:adjustRightInd w:val="0"/>
        <w:snapToGrid w:val="0"/>
        <w:ind w:firstLineChars="200" w:firstLine="480"/>
        <w:rPr>
          <w:rFonts w:ascii="仿宋_GB2312" w:eastAsia="仿宋_GB2312" w:hAnsi="仿宋" w:cs="宋体"/>
          <w:sz w:val="24"/>
          <w:szCs w:val="24"/>
        </w:rPr>
      </w:pPr>
      <w:r>
        <w:rPr>
          <w:rFonts w:ascii="仿宋_GB2312" w:eastAsia="仿宋_GB2312" w:hAnsi="仿宋" w:cs="宋体" w:hint="eastAsia"/>
          <w:sz w:val="24"/>
          <w:szCs w:val="24"/>
        </w:rPr>
        <w:t>以“工学结合、校企合作”为指导，采用多媒体教学、案例教学、情景模拟等教学方式，以学生主动学习操作为主，以教师引领、归纳、提点为辅，更新教学内容，促进课程与课程体系改革。</w:t>
      </w:r>
    </w:p>
    <w:p w:rsidR="005C7064" w:rsidRDefault="00CA6BF1">
      <w:pPr>
        <w:adjustRightInd w:val="0"/>
        <w:snapToGrid w:val="0"/>
        <w:ind w:firstLineChars="200" w:firstLine="480"/>
        <w:rPr>
          <w:rFonts w:ascii="仿宋_GB2312" w:eastAsia="仿宋_GB2312" w:hAnsi="仿宋" w:cs="宋体"/>
          <w:sz w:val="24"/>
          <w:szCs w:val="24"/>
        </w:rPr>
      </w:pPr>
      <w:r>
        <w:rPr>
          <w:rFonts w:ascii="仿宋_GB2312" w:eastAsia="仿宋_GB2312" w:hAnsi="仿宋" w:cs="宋体" w:hint="eastAsia"/>
          <w:sz w:val="24"/>
          <w:szCs w:val="24"/>
        </w:rPr>
        <w:t>2.</w:t>
      </w:r>
      <w:r>
        <w:rPr>
          <w:rFonts w:ascii="仿宋_GB2312" w:eastAsia="仿宋_GB2312" w:hAnsi="仿宋" w:cs="宋体" w:hint="eastAsia"/>
          <w:sz w:val="24"/>
          <w:szCs w:val="24"/>
        </w:rPr>
        <w:t>教学手段</w:t>
      </w:r>
    </w:p>
    <w:p w:rsidR="005C7064" w:rsidRDefault="00CA6BF1">
      <w:pPr>
        <w:adjustRightInd w:val="0"/>
        <w:snapToGrid w:val="0"/>
        <w:ind w:firstLineChars="200" w:firstLine="480"/>
        <w:rPr>
          <w:rFonts w:ascii="仿宋_GB2312" w:eastAsia="仿宋_GB2312" w:hAnsi="仿宋" w:cs="宋体"/>
          <w:sz w:val="24"/>
          <w:szCs w:val="24"/>
        </w:rPr>
      </w:pPr>
      <w:r>
        <w:rPr>
          <w:rFonts w:ascii="仿宋_GB2312" w:eastAsia="仿宋_GB2312" w:hAnsi="仿宋" w:cs="宋体" w:hint="eastAsia"/>
          <w:sz w:val="24"/>
          <w:szCs w:val="24"/>
        </w:rPr>
        <w:t>包括投影仪、幻</w:t>
      </w:r>
      <w:r>
        <w:rPr>
          <w:rFonts w:ascii="仿宋_GB2312" w:eastAsia="仿宋_GB2312" w:hAnsi="仿宋" w:cs="宋体" w:hint="eastAsia"/>
          <w:sz w:val="24"/>
          <w:szCs w:val="24"/>
        </w:rPr>
        <w:t>灯片、录像资料、音像材料、三维动画、多媒体课件、课堂教学软件、实验软件系统、教学行政管理系统及教学网站等。</w:t>
      </w:r>
    </w:p>
    <w:p w:rsidR="005C7064" w:rsidRDefault="00CA6BF1">
      <w:pPr>
        <w:adjustRightInd w:val="0"/>
        <w:snapToGrid w:val="0"/>
        <w:ind w:firstLineChars="200" w:firstLine="480"/>
        <w:rPr>
          <w:rFonts w:ascii="仿宋_GB2312" w:eastAsia="仿宋_GB2312" w:hAnsi="仿宋" w:cs="宋体"/>
          <w:sz w:val="24"/>
          <w:szCs w:val="24"/>
        </w:rPr>
      </w:pPr>
      <w:r>
        <w:rPr>
          <w:rFonts w:ascii="仿宋_GB2312" w:eastAsia="仿宋_GB2312" w:hAnsi="仿宋" w:cs="宋体" w:hint="eastAsia"/>
          <w:sz w:val="24"/>
          <w:szCs w:val="24"/>
        </w:rPr>
        <w:t>3.</w:t>
      </w:r>
      <w:r>
        <w:rPr>
          <w:rFonts w:ascii="仿宋_GB2312" w:eastAsia="仿宋_GB2312" w:hAnsi="仿宋" w:cs="宋体" w:hint="eastAsia"/>
          <w:sz w:val="24"/>
          <w:szCs w:val="24"/>
        </w:rPr>
        <w:t>教学组织</w:t>
      </w:r>
    </w:p>
    <w:p w:rsidR="005C7064" w:rsidRDefault="00CA6BF1">
      <w:pPr>
        <w:adjustRightInd w:val="0"/>
        <w:snapToGrid w:val="0"/>
        <w:ind w:firstLineChars="200" w:firstLine="480"/>
        <w:rPr>
          <w:rFonts w:ascii="仿宋_GB2312" w:eastAsia="仿宋_GB2312" w:hAnsi="仿宋" w:cs="宋体"/>
          <w:sz w:val="24"/>
          <w:szCs w:val="24"/>
        </w:rPr>
      </w:pPr>
      <w:r>
        <w:rPr>
          <w:rFonts w:ascii="仿宋_GB2312" w:eastAsia="仿宋_GB2312" w:hAnsi="仿宋" w:cs="宋体" w:hint="eastAsia"/>
          <w:sz w:val="24"/>
          <w:szCs w:val="24"/>
        </w:rPr>
        <w:t>根据课程的不同特点，采取的教学组织形式包括：班级授课、分组教学、个别辅导、开放教学、现场教学等方式。</w:t>
      </w:r>
    </w:p>
    <w:p w:rsidR="005C7064" w:rsidRDefault="00CA6BF1">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（五）教学评价、考核建议</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以学院现有教学质量管理体系为基础，不断适应和改革，完善过程监控与目标考核相结合的质量监控体系。加强教学督导和学生评教机制，尝试引入社会评价。</w:t>
      </w:r>
      <w:r>
        <w:rPr>
          <w:rFonts w:ascii="仿宋_GB2312" w:eastAsia="仿宋_GB2312" w:hint="eastAsia"/>
          <w:sz w:val="24"/>
          <w:szCs w:val="24"/>
        </w:rPr>
        <w:t xml:space="preserve"> </w:t>
      </w:r>
    </w:p>
    <w:p w:rsidR="005C7064" w:rsidRDefault="005C7064">
      <w:pPr>
        <w:adjustRightInd w:val="0"/>
        <w:snapToGrid w:val="0"/>
        <w:ind w:firstLineChars="200" w:firstLine="480"/>
        <w:jc w:val="left"/>
        <w:rPr>
          <w:rFonts w:ascii="黑体" w:eastAsia="黑体" w:hAnsi="黑体"/>
          <w:sz w:val="24"/>
          <w:szCs w:val="24"/>
        </w:rPr>
      </w:pPr>
    </w:p>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十二、继续专业学习深造建议</w:t>
      </w:r>
    </w:p>
    <w:p w:rsidR="005C7064" w:rsidRDefault="00CA6BF1">
      <w:pPr>
        <w:adjustRightInd w:val="0"/>
        <w:snapToGrid w:val="0"/>
        <w:spacing w:beforeLines="50" w:before="120"/>
        <w:ind w:firstLineChars="200" w:firstLine="480"/>
        <w:jc w:val="left"/>
        <w:rPr>
          <w:rFonts w:ascii="仿宋_GB2312" w:eastAsia="仿宋_GB2312"/>
          <w:sz w:val="24"/>
          <w:szCs w:val="24"/>
        </w:rPr>
      </w:pPr>
      <w:r>
        <w:rPr>
          <w:rFonts w:ascii="仿宋_GB2312" w:eastAsia="仿宋_GB2312" w:hint="eastAsia"/>
          <w:sz w:val="24"/>
          <w:szCs w:val="24"/>
        </w:rPr>
        <w:t>（一）本专业毕业生毕业时可以参加专升本，到本科院校继续学习深造，接受更高层次教育。</w:t>
      </w:r>
    </w:p>
    <w:p w:rsidR="005C7064" w:rsidRDefault="00CA6BF1">
      <w:pPr>
        <w:adjustRightInd w:val="0"/>
        <w:snapToGrid w:val="0"/>
        <w:spacing w:beforeLines="50" w:before="120"/>
        <w:ind w:firstLineChars="200" w:firstLine="480"/>
        <w:jc w:val="left"/>
        <w:rPr>
          <w:rFonts w:ascii="仿宋_GB2312" w:eastAsia="仿宋_GB2312"/>
          <w:sz w:val="24"/>
          <w:szCs w:val="24"/>
        </w:rPr>
      </w:pPr>
      <w:r>
        <w:rPr>
          <w:rFonts w:ascii="仿宋_GB2312" w:eastAsia="仿宋_GB2312" w:hint="eastAsia"/>
          <w:sz w:val="24"/>
          <w:szCs w:val="24"/>
        </w:rPr>
        <w:t>（二）通过成人专升本考试，边工作边参加本专业或相近专业成人本科学历的业余学习，毕业后获得岗位晋升；</w:t>
      </w:r>
    </w:p>
    <w:p w:rsidR="005C7064" w:rsidRDefault="00CA6BF1">
      <w:pPr>
        <w:adjustRightInd w:val="0"/>
        <w:snapToGrid w:val="0"/>
        <w:spacing w:beforeLines="50" w:before="120"/>
        <w:ind w:firstLineChars="200" w:firstLine="480"/>
        <w:jc w:val="left"/>
        <w:rPr>
          <w:rFonts w:ascii="仿宋_GB2312" w:eastAsia="仿宋_GB2312"/>
          <w:sz w:val="24"/>
          <w:szCs w:val="24"/>
        </w:rPr>
      </w:pPr>
      <w:r>
        <w:rPr>
          <w:rFonts w:ascii="仿宋_GB2312" w:eastAsia="仿宋_GB2312" w:hint="eastAsia"/>
          <w:sz w:val="24"/>
          <w:szCs w:val="24"/>
        </w:rPr>
        <w:t>（三）以同等学历报考并通过企业管理、管理工程与科学专业研究生入学考试，毕业后从事相关应用研发工作。</w:t>
      </w:r>
    </w:p>
    <w:p w:rsidR="005C7064" w:rsidRDefault="005C7064">
      <w:pPr>
        <w:adjustRightInd w:val="0"/>
        <w:snapToGrid w:val="0"/>
        <w:ind w:firstLineChars="200" w:firstLine="480"/>
        <w:jc w:val="left"/>
        <w:rPr>
          <w:rFonts w:ascii="黑体" w:eastAsia="黑体" w:hAnsi="黑体"/>
          <w:sz w:val="24"/>
          <w:szCs w:val="24"/>
        </w:rPr>
      </w:pPr>
    </w:p>
    <w:p w:rsidR="005C7064" w:rsidRDefault="00CA6BF1">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十三、说明</w:t>
      </w:r>
    </w:p>
    <w:p w:rsidR="005C7064" w:rsidRDefault="00CA6BF1">
      <w:pPr>
        <w:adjustRightInd w:val="0"/>
        <w:snapToGrid w:val="0"/>
        <w:ind w:firstLineChars="200" w:firstLine="480"/>
        <w:rPr>
          <w:rFonts w:ascii="仿宋_GB2312" w:eastAsia="仿宋_GB2312"/>
          <w:sz w:val="24"/>
          <w:szCs w:val="24"/>
        </w:rPr>
      </w:pPr>
      <w:r>
        <w:rPr>
          <w:rFonts w:ascii="仿宋_GB2312" w:eastAsia="仿宋_GB2312" w:hint="eastAsia"/>
          <w:sz w:val="24"/>
          <w:szCs w:val="24"/>
        </w:rPr>
        <w:t>本方案由校内外专家与工商企业管理教研室老师共同研讨，校外专家来自永高集团、百达集团、</w:t>
      </w:r>
      <w:proofErr w:type="gramStart"/>
      <w:r>
        <w:rPr>
          <w:rFonts w:ascii="仿宋_GB2312" w:eastAsia="仿宋_GB2312" w:hint="eastAsia"/>
          <w:sz w:val="24"/>
          <w:szCs w:val="24"/>
        </w:rPr>
        <w:t>晖腾科技</w:t>
      </w:r>
      <w:proofErr w:type="gramEnd"/>
      <w:r>
        <w:rPr>
          <w:rFonts w:ascii="仿宋_GB2312" w:eastAsia="仿宋_GB2312" w:hint="eastAsia"/>
          <w:sz w:val="24"/>
          <w:szCs w:val="24"/>
        </w:rPr>
        <w:t>等，通过校企合作共同制定了符合工商企业管理发展趋势和人才规格要求的人才培养方案，于</w:t>
      </w:r>
      <w:r>
        <w:rPr>
          <w:rFonts w:ascii="仿宋_GB2312" w:eastAsia="仿宋_GB2312" w:hint="eastAsia"/>
          <w:sz w:val="24"/>
          <w:szCs w:val="24"/>
        </w:rPr>
        <w:t>2021</w:t>
      </w:r>
      <w:r>
        <w:rPr>
          <w:rFonts w:ascii="仿宋_GB2312" w:eastAsia="仿宋_GB2312" w:hint="eastAsia"/>
          <w:sz w:val="24"/>
          <w:szCs w:val="24"/>
        </w:rPr>
        <w:t>年</w:t>
      </w:r>
      <w:r>
        <w:rPr>
          <w:rFonts w:ascii="仿宋_GB2312" w:eastAsia="仿宋_GB2312" w:hint="eastAsia"/>
          <w:sz w:val="24"/>
          <w:szCs w:val="24"/>
        </w:rPr>
        <w:t>4</w:t>
      </w:r>
      <w:r>
        <w:rPr>
          <w:rFonts w:ascii="仿宋_GB2312" w:eastAsia="仿宋_GB2312" w:hint="eastAsia"/>
          <w:sz w:val="24"/>
          <w:szCs w:val="24"/>
        </w:rPr>
        <w:t>月修订完成，并经专业指导委员会论证。</w:t>
      </w:r>
    </w:p>
    <w:p w:rsidR="005C7064" w:rsidRDefault="005C7064">
      <w:pPr>
        <w:adjustRightInd w:val="0"/>
        <w:snapToGrid w:val="0"/>
        <w:jc w:val="left"/>
        <w:rPr>
          <w:rFonts w:ascii="仿宋_GB2312" w:eastAsia="仿宋_GB2312"/>
          <w:sz w:val="24"/>
          <w:szCs w:val="24"/>
        </w:rPr>
      </w:pPr>
    </w:p>
    <w:p w:rsidR="005C7064" w:rsidRDefault="00CA6BF1">
      <w:pPr>
        <w:adjustRightInd w:val="0"/>
        <w:snapToGrid w:val="0"/>
        <w:jc w:val="left"/>
        <w:rPr>
          <w:sz w:val="24"/>
          <w:szCs w:val="24"/>
        </w:rPr>
      </w:pPr>
      <w:r>
        <w:rPr>
          <w:rFonts w:ascii="仿宋_GB2312" w:eastAsia="仿宋_GB2312" w:hint="eastAsia"/>
          <w:sz w:val="24"/>
          <w:szCs w:val="24"/>
        </w:rPr>
        <w:t>执笔人：谢伟</w:t>
      </w:r>
      <w:r>
        <w:rPr>
          <w:rFonts w:ascii="仿宋_GB2312" w:eastAsia="仿宋_GB2312" w:hint="eastAsia"/>
          <w:sz w:val="24"/>
          <w:szCs w:val="24"/>
        </w:rPr>
        <w:t xml:space="preserve"> </w:t>
      </w:r>
      <w:r>
        <w:rPr>
          <w:rFonts w:ascii="仿宋_GB2312" w:eastAsia="仿宋_GB2312" w:hint="eastAsia"/>
          <w:sz w:val="24"/>
          <w:szCs w:val="24"/>
        </w:rPr>
        <w:t>审核人：杨勇</w:t>
      </w:r>
      <w:r>
        <w:rPr>
          <w:rFonts w:ascii="仿宋_GB2312" w:eastAsia="仿宋_GB2312" w:hint="eastAsia"/>
          <w:sz w:val="24"/>
          <w:szCs w:val="24"/>
        </w:rPr>
        <w:t xml:space="preserve"> </w:t>
      </w:r>
      <w:r>
        <w:rPr>
          <w:rFonts w:ascii="仿宋_GB2312" w:eastAsia="仿宋_GB2312" w:hint="eastAsia"/>
          <w:sz w:val="24"/>
          <w:szCs w:val="24"/>
        </w:rPr>
        <w:t>制订（或修订）时间：</w:t>
      </w:r>
      <w:r>
        <w:rPr>
          <w:rFonts w:ascii="仿宋_GB2312" w:eastAsia="仿宋_GB2312" w:hint="eastAsia"/>
          <w:sz w:val="24"/>
          <w:szCs w:val="24"/>
        </w:rPr>
        <w:t>2021</w:t>
      </w:r>
      <w:r>
        <w:rPr>
          <w:rFonts w:ascii="仿宋_GB2312" w:eastAsia="仿宋_GB2312" w:hint="eastAsia"/>
          <w:sz w:val="24"/>
          <w:szCs w:val="24"/>
        </w:rPr>
        <w:t>年</w:t>
      </w:r>
      <w:r>
        <w:rPr>
          <w:rFonts w:ascii="仿宋_GB2312" w:eastAsia="仿宋_GB2312" w:hint="eastAsia"/>
          <w:sz w:val="24"/>
          <w:szCs w:val="24"/>
        </w:rPr>
        <w:t>11</w:t>
      </w:r>
      <w:r>
        <w:rPr>
          <w:rFonts w:ascii="仿宋_GB2312" w:eastAsia="仿宋_GB2312" w:hint="eastAsia"/>
          <w:sz w:val="24"/>
          <w:szCs w:val="24"/>
        </w:rPr>
        <w:t>月</w:t>
      </w:r>
    </w:p>
    <w:p w:rsidR="005C7064" w:rsidRDefault="005C7064">
      <w:pPr>
        <w:adjustRightInd w:val="0"/>
        <w:snapToGrid w:val="0"/>
        <w:jc w:val="left"/>
        <w:rPr>
          <w:sz w:val="24"/>
          <w:szCs w:val="24"/>
        </w:rPr>
        <w:sectPr w:rsidR="005C7064">
          <w:headerReference w:type="even" r:id="rId13"/>
          <w:headerReference w:type="default" r:id="rId14"/>
          <w:footerReference w:type="even" r:id="rId15"/>
          <w:footerReference w:type="default" r:id="rId16"/>
          <w:pgSz w:w="11906" w:h="16838"/>
          <w:pgMar w:top="1361" w:right="1191" w:bottom="1361" w:left="1191" w:header="567" w:footer="567" w:gutter="0"/>
          <w:cols w:space="425"/>
          <w:docGrid w:linePitch="312"/>
        </w:sectPr>
      </w:pPr>
    </w:p>
    <w:p w:rsidR="005C7064" w:rsidRDefault="005C7064">
      <w:pPr>
        <w:adjustRightInd w:val="0"/>
        <w:snapToGrid w:val="0"/>
        <w:ind w:firstLineChars="200" w:firstLine="480"/>
        <w:rPr>
          <w:sz w:val="24"/>
          <w:szCs w:val="24"/>
        </w:rPr>
      </w:pPr>
    </w:p>
    <w:p w:rsidR="005C7064" w:rsidRDefault="005C7064">
      <w:pPr>
        <w:adjustRightInd w:val="0"/>
        <w:snapToGrid w:val="0"/>
        <w:ind w:firstLineChars="200" w:firstLine="480"/>
        <w:rPr>
          <w:sz w:val="24"/>
          <w:szCs w:val="24"/>
        </w:rPr>
      </w:pPr>
    </w:p>
    <w:sectPr w:rsidR="005C7064">
      <w:headerReference w:type="even" r:id="rId17"/>
      <w:headerReference w:type="default" r:id="rId18"/>
      <w:footerReference w:type="default" r:id="rId19"/>
      <w:type w:val="continuous"/>
      <w:pgSz w:w="11906" w:h="16838"/>
      <w:pgMar w:top="1361" w:right="1191" w:bottom="1361" w:left="1191" w:header="567" w:footer="56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BF1" w:rsidRDefault="00CA6BF1">
      <w:r>
        <w:separator/>
      </w:r>
    </w:p>
  </w:endnote>
  <w:endnote w:type="continuationSeparator" w:id="0">
    <w:p w:rsidR="00CA6BF1" w:rsidRDefault="00CA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064" w:rsidRDefault="005C7064">
    <w:pPr>
      <w:pStyle w:val="a6"/>
      <w:tabs>
        <w:tab w:val="clear" w:pos="4153"/>
        <w:tab w:val="clear" w:pos="8306"/>
      </w:tabs>
      <w:rPr>
        <w:rFonts w:asciiTheme="minorEastAsia" w:eastAsiaTheme="minorEastAsia" w:hAnsiTheme="minorEastAsia"/>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064" w:rsidRDefault="005C7064">
    <w:pPr>
      <w:pStyle w:val="a6"/>
      <w:ind w:right="1120"/>
      <w:rPr>
        <w:rFonts w:asciiTheme="minorEastAsia" w:eastAsiaTheme="minorEastAsia" w:hAnsiTheme="minorEastAsia"/>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064" w:rsidRDefault="005C7064">
    <w:pPr>
      <w:pStyle w:val="a6"/>
      <w:ind w:right="1120"/>
      <w:rPr>
        <w:rFonts w:asciiTheme="minorEastAsia" w:eastAsiaTheme="minorEastAsia" w:hAnsiTheme="minorEastAsia"/>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BF1" w:rsidRDefault="00CA6BF1">
      <w:r>
        <w:separator/>
      </w:r>
    </w:p>
  </w:footnote>
  <w:footnote w:type="continuationSeparator" w:id="0">
    <w:p w:rsidR="00CA6BF1" w:rsidRDefault="00CA6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064" w:rsidRDefault="005C7064">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064" w:rsidRDefault="005C7064">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064" w:rsidRDefault="005C7064">
    <w:pPr>
      <w:pStyle w:val="a7"/>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064" w:rsidRDefault="005C7064">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05A80"/>
    <w:multiLevelType w:val="multilevel"/>
    <w:tmpl w:val="1E205A80"/>
    <w:lvl w:ilvl="0">
      <w:start w:val="1"/>
      <w:numFmt w:val="japaneseCounting"/>
      <w:lvlText w:val="（%1）"/>
      <w:lvlJc w:val="left"/>
      <w:pPr>
        <w:ind w:left="1680" w:hanging="108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7E4255"/>
    <w:rsid w:val="87ACFEBA"/>
    <w:rsid w:val="CAEF1D0B"/>
    <w:rsid w:val="EDDF56F3"/>
    <w:rsid w:val="FCEFE271"/>
    <w:rsid w:val="00001039"/>
    <w:rsid w:val="00001BB9"/>
    <w:rsid w:val="0002231B"/>
    <w:rsid w:val="00024021"/>
    <w:rsid w:val="00027B3D"/>
    <w:rsid w:val="00030CAE"/>
    <w:rsid w:val="00035D41"/>
    <w:rsid w:val="000401A1"/>
    <w:rsid w:val="000441BE"/>
    <w:rsid w:val="00044E30"/>
    <w:rsid w:val="0005484D"/>
    <w:rsid w:val="00066BAB"/>
    <w:rsid w:val="00072144"/>
    <w:rsid w:val="00084A87"/>
    <w:rsid w:val="000879F8"/>
    <w:rsid w:val="000913E4"/>
    <w:rsid w:val="000E13A3"/>
    <w:rsid w:val="000E1C68"/>
    <w:rsid w:val="000E5F1B"/>
    <w:rsid w:val="00114748"/>
    <w:rsid w:val="0012063E"/>
    <w:rsid w:val="00121143"/>
    <w:rsid w:val="00127997"/>
    <w:rsid w:val="0013273D"/>
    <w:rsid w:val="001378EC"/>
    <w:rsid w:val="00156AEC"/>
    <w:rsid w:val="001579F3"/>
    <w:rsid w:val="00175A15"/>
    <w:rsid w:val="00181860"/>
    <w:rsid w:val="00193A75"/>
    <w:rsid w:val="001A1BB5"/>
    <w:rsid w:val="001A4019"/>
    <w:rsid w:val="001A7F23"/>
    <w:rsid w:val="001B0D0E"/>
    <w:rsid w:val="001B4EFC"/>
    <w:rsid w:val="001C0E92"/>
    <w:rsid w:val="001C32E9"/>
    <w:rsid w:val="001D5CD3"/>
    <w:rsid w:val="00200CE9"/>
    <w:rsid w:val="00207AB9"/>
    <w:rsid w:val="00222BC0"/>
    <w:rsid w:val="0023163D"/>
    <w:rsid w:val="00237CD4"/>
    <w:rsid w:val="002509AE"/>
    <w:rsid w:val="00250F68"/>
    <w:rsid w:val="0025541F"/>
    <w:rsid w:val="0025629C"/>
    <w:rsid w:val="002604C2"/>
    <w:rsid w:val="00260716"/>
    <w:rsid w:val="002624A3"/>
    <w:rsid w:val="00267105"/>
    <w:rsid w:val="00267EDD"/>
    <w:rsid w:val="00274AF8"/>
    <w:rsid w:val="00274E6B"/>
    <w:rsid w:val="0028454D"/>
    <w:rsid w:val="00284E34"/>
    <w:rsid w:val="002A23CC"/>
    <w:rsid w:val="002A62B8"/>
    <w:rsid w:val="002B337E"/>
    <w:rsid w:val="002C02B8"/>
    <w:rsid w:val="002C7A06"/>
    <w:rsid w:val="002D7FED"/>
    <w:rsid w:val="002E0F4F"/>
    <w:rsid w:val="002F3582"/>
    <w:rsid w:val="00304F68"/>
    <w:rsid w:val="003104DC"/>
    <w:rsid w:val="0031163F"/>
    <w:rsid w:val="00324603"/>
    <w:rsid w:val="00332E8C"/>
    <w:rsid w:val="0034173D"/>
    <w:rsid w:val="00343E58"/>
    <w:rsid w:val="003508D6"/>
    <w:rsid w:val="003532F2"/>
    <w:rsid w:val="00355CEF"/>
    <w:rsid w:val="00357E2D"/>
    <w:rsid w:val="003A7756"/>
    <w:rsid w:val="003B30AC"/>
    <w:rsid w:val="003D0D81"/>
    <w:rsid w:val="003D4FA6"/>
    <w:rsid w:val="003E0743"/>
    <w:rsid w:val="003E1725"/>
    <w:rsid w:val="003F7F4D"/>
    <w:rsid w:val="00403D17"/>
    <w:rsid w:val="00404E89"/>
    <w:rsid w:val="00410CFC"/>
    <w:rsid w:val="0041319A"/>
    <w:rsid w:val="00414C2D"/>
    <w:rsid w:val="00435C73"/>
    <w:rsid w:val="00440E33"/>
    <w:rsid w:val="00445C3F"/>
    <w:rsid w:val="00461AFD"/>
    <w:rsid w:val="0046253C"/>
    <w:rsid w:val="00471EE0"/>
    <w:rsid w:val="004749D5"/>
    <w:rsid w:val="00494BBB"/>
    <w:rsid w:val="004B0A0D"/>
    <w:rsid w:val="004B4056"/>
    <w:rsid w:val="004C5377"/>
    <w:rsid w:val="004D1D21"/>
    <w:rsid w:val="004D630D"/>
    <w:rsid w:val="004E206A"/>
    <w:rsid w:val="004E219D"/>
    <w:rsid w:val="004E453D"/>
    <w:rsid w:val="004E48FA"/>
    <w:rsid w:val="004F1418"/>
    <w:rsid w:val="004F2118"/>
    <w:rsid w:val="00500C60"/>
    <w:rsid w:val="005014A0"/>
    <w:rsid w:val="00521508"/>
    <w:rsid w:val="00527D36"/>
    <w:rsid w:val="005353EF"/>
    <w:rsid w:val="005377A5"/>
    <w:rsid w:val="00537E78"/>
    <w:rsid w:val="00544B15"/>
    <w:rsid w:val="00546BA4"/>
    <w:rsid w:val="0055006A"/>
    <w:rsid w:val="00553F56"/>
    <w:rsid w:val="00564562"/>
    <w:rsid w:val="00564E9C"/>
    <w:rsid w:val="0056778A"/>
    <w:rsid w:val="0059007D"/>
    <w:rsid w:val="005974C8"/>
    <w:rsid w:val="00597EEB"/>
    <w:rsid w:val="005A5DFA"/>
    <w:rsid w:val="005A634F"/>
    <w:rsid w:val="005B40CF"/>
    <w:rsid w:val="005B7826"/>
    <w:rsid w:val="005C0AAE"/>
    <w:rsid w:val="005C7064"/>
    <w:rsid w:val="005D155E"/>
    <w:rsid w:val="005D43BE"/>
    <w:rsid w:val="005E2AE0"/>
    <w:rsid w:val="005E3D68"/>
    <w:rsid w:val="005F58CB"/>
    <w:rsid w:val="0060101C"/>
    <w:rsid w:val="0061451D"/>
    <w:rsid w:val="00615A96"/>
    <w:rsid w:val="006160F1"/>
    <w:rsid w:val="0062194C"/>
    <w:rsid w:val="00621ECD"/>
    <w:rsid w:val="006247BA"/>
    <w:rsid w:val="00624C77"/>
    <w:rsid w:val="00630FF1"/>
    <w:rsid w:val="006339B1"/>
    <w:rsid w:val="00633BB3"/>
    <w:rsid w:val="00641E37"/>
    <w:rsid w:val="00642C5F"/>
    <w:rsid w:val="006461FB"/>
    <w:rsid w:val="00646285"/>
    <w:rsid w:val="00681498"/>
    <w:rsid w:val="00683B29"/>
    <w:rsid w:val="00686FE6"/>
    <w:rsid w:val="006878A5"/>
    <w:rsid w:val="0069620C"/>
    <w:rsid w:val="006A2DD6"/>
    <w:rsid w:val="006B24F7"/>
    <w:rsid w:val="006B3D21"/>
    <w:rsid w:val="006B6F70"/>
    <w:rsid w:val="006C6ADC"/>
    <w:rsid w:val="006D078D"/>
    <w:rsid w:val="006D2534"/>
    <w:rsid w:val="006E767A"/>
    <w:rsid w:val="006F6FFB"/>
    <w:rsid w:val="00703362"/>
    <w:rsid w:val="00712C62"/>
    <w:rsid w:val="00726B36"/>
    <w:rsid w:val="00740097"/>
    <w:rsid w:val="00743DB5"/>
    <w:rsid w:val="00747A2E"/>
    <w:rsid w:val="007527A9"/>
    <w:rsid w:val="00753988"/>
    <w:rsid w:val="0075409B"/>
    <w:rsid w:val="00756A20"/>
    <w:rsid w:val="007700F1"/>
    <w:rsid w:val="007705A2"/>
    <w:rsid w:val="00770D9D"/>
    <w:rsid w:val="00774387"/>
    <w:rsid w:val="007805E7"/>
    <w:rsid w:val="00780FEA"/>
    <w:rsid w:val="007B360A"/>
    <w:rsid w:val="007B41CA"/>
    <w:rsid w:val="007D3AD0"/>
    <w:rsid w:val="007E4255"/>
    <w:rsid w:val="007E4AD3"/>
    <w:rsid w:val="007F29B3"/>
    <w:rsid w:val="007F6BFF"/>
    <w:rsid w:val="00801B15"/>
    <w:rsid w:val="00804FA0"/>
    <w:rsid w:val="008142E5"/>
    <w:rsid w:val="008227EE"/>
    <w:rsid w:val="008232E2"/>
    <w:rsid w:val="00840000"/>
    <w:rsid w:val="00840401"/>
    <w:rsid w:val="0084610C"/>
    <w:rsid w:val="00856342"/>
    <w:rsid w:val="008568AD"/>
    <w:rsid w:val="008758AD"/>
    <w:rsid w:val="008A34BA"/>
    <w:rsid w:val="008A66AF"/>
    <w:rsid w:val="008B02A6"/>
    <w:rsid w:val="008B3191"/>
    <w:rsid w:val="008B41BB"/>
    <w:rsid w:val="008D2D66"/>
    <w:rsid w:val="008D5E97"/>
    <w:rsid w:val="008E474B"/>
    <w:rsid w:val="008E4EEC"/>
    <w:rsid w:val="008E6443"/>
    <w:rsid w:val="008E7560"/>
    <w:rsid w:val="008E7C41"/>
    <w:rsid w:val="00907B37"/>
    <w:rsid w:val="009431CC"/>
    <w:rsid w:val="00944156"/>
    <w:rsid w:val="00944795"/>
    <w:rsid w:val="00952124"/>
    <w:rsid w:val="009558CA"/>
    <w:rsid w:val="00957BFE"/>
    <w:rsid w:val="0097006A"/>
    <w:rsid w:val="009829CA"/>
    <w:rsid w:val="00985D23"/>
    <w:rsid w:val="009A210C"/>
    <w:rsid w:val="009A2BD4"/>
    <w:rsid w:val="009B6A4E"/>
    <w:rsid w:val="009C4AC6"/>
    <w:rsid w:val="009C4C3E"/>
    <w:rsid w:val="009D41EF"/>
    <w:rsid w:val="009D79FA"/>
    <w:rsid w:val="009D7F33"/>
    <w:rsid w:val="009E02C6"/>
    <w:rsid w:val="009E5591"/>
    <w:rsid w:val="009E6516"/>
    <w:rsid w:val="009F596C"/>
    <w:rsid w:val="009F6162"/>
    <w:rsid w:val="00A03E09"/>
    <w:rsid w:val="00A07961"/>
    <w:rsid w:val="00A1294A"/>
    <w:rsid w:val="00A12DC9"/>
    <w:rsid w:val="00A13656"/>
    <w:rsid w:val="00A15522"/>
    <w:rsid w:val="00A224A6"/>
    <w:rsid w:val="00A37381"/>
    <w:rsid w:val="00A417DA"/>
    <w:rsid w:val="00A533F8"/>
    <w:rsid w:val="00A5450E"/>
    <w:rsid w:val="00A63566"/>
    <w:rsid w:val="00A6398E"/>
    <w:rsid w:val="00A67717"/>
    <w:rsid w:val="00A75B8C"/>
    <w:rsid w:val="00A845AC"/>
    <w:rsid w:val="00A905FA"/>
    <w:rsid w:val="00A928D3"/>
    <w:rsid w:val="00A9780C"/>
    <w:rsid w:val="00AA16F1"/>
    <w:rsid w:val="00AB177E"/>
    <w:rsid w:val="00AC3DDF"/>
    <w:rsid w:val="00AC6FB0"/>
    <w:rsid w:val="00AE0EFD"/>
    <w:rsid w:val="00AF69A8"/>
    <w:rsid w:val="00B05F13"/>
    <w:rsid w:val="00B0704B"/>
    <w:rsid w:val="00B07AC6"/>
    <w:rsid w:val="00B07B7D"/>
    <w:rsid w:val="00B103D3"/>
    <w:rsid w:val="00B10446"/>
    <w:rsid w:val="00B1710E"/>
    <w:rsid w:val="00B30CCB"/>
    <w:rsid w:val="00B531A5"/>
    <w:rsid w:val="00B601EA"/>
    <w:rsid w:val="00B60AF7"/>
    <w:rsid w:val="00B62078"/>
    <w:rsid w:val="00B62AD5"/>
    <w:rsid w:val="00B64C2D"/>
    <w:rsid w:val="00B64D56"/>
    <w:rsid w:val="00B75300"/>
    <w:rsid w:val="00B932BB"/>
    <w:rsid w:val="00BA1F15"/>
    <w:rsid w:val="00BB5BD3"/>
    <w:rsid w:val="00BC481C"/>
    <w:rsid w:val="00BD0600"/>
    <w:rsid w:val="00BE166F"/>
    <w:rsid w:val="00BF122F"/>
    <w:rsid w:val="00BF786D"/>
    <w:rsid w:val="00C369CB"/>
    <w:rsid w:val="00C45BEB"/>
    <w:rsid w:val="00C52AF3"/>
    <w:rsid w:val="00C53437"/>
    <w:rsid w:val="00C56012"/>
    <w:rsid w:val="00C6207E"/>
    <w:rsid w:val="00C7541C"/>
    <w:rsid w:val="00C91138"/>
    <w:rsid w:val="00C925B8"/>
    <w:rsid w:val="00CA6BF1"/>
    <w:rsid w:val="00CA7957"/>
    <w:rsid w:val="00CB6E02"/>
    <w:rsid w:val="00CC0DE6"/>
    <w:rsid w:val="00CD3C30"/>
    <w:rsid w:val="00D07F4C"/>
    <w:rsid w:val="00D15D9A"/>
    <w:rsid w:val="00D3635C"/>
    <w:rsid w:val="00D4379E"/>
    <w:rsid w:val="00D44457"/>
    <w:rsid w:val="00D47AE5"/>
    <w:rsid w:val="00D51032"/>
    <w:rsid w:val="00D6300C"/>
    <w:rsid w:val="00D71EC9"/>
    <w:rsid w:val="00D72C49"/>
    <w:rsid w:val="00D74D5F"/>
    <w:rsid w:val="00D750C8"/>
    <w:rsid w:val="00D77FD0"/>
    <w:rsid w:val="00D83FC9"/>
    <w:rsid w:val="00D9313E"/>
    <w:rsid w:val="00D970D3"/>
    <w:rsid w:val="00D974BA"/>
    <w:rsid w:val="00DA5889"/>
    <w:rsid w:val="00DB39BF"/>
    <w:rsid w:val="00DB771D"/>
    <w:rsid w:val="00DE0590"/>
    <w:rsid w:val="00DE76AE"/>
    <w:rsid w:val="00DF24F9"/>
    <w:rsid w:val="00E353ED"/>
    <w:rsid w:val="00E41F0D"/>
    <w:rsid w:val="00E47438"/>
    <w:rsid w:val="00E67479"/>
    <w:rsid w:val="00E864F3"/>
    <w:rsid w:val="00E873BB"/>
    <w:rsid w:val="00E9709E"/>
    <w:rsid w:val="00EA263C"/>
    <w:rsid w:val="00EB53EB"/>
    <w:rsid w:val="00ED16D1"/>
    <w:rsid w:val="00ED4662"/>
    <w:rsid w:val="00EE00B1"/>
    <w:rsid w:val="00F02B02"/>
    <w:rsid w:val="00F02BBF"/>
    <w:rsid w:val="00F253B9"/>
    <w:rsid w:val="00F27693"/>
    <w:rsid w:val="00F345FB"/>
    <w:rsid w:val="00F4421F"/>
    <w:rsid w:val="00F50FA2"/>
    <w:rsid w:val="00F616B3"/>
    <w:rsid w:val="00F63806"/>
    <w:rsid w:val="00F66846"/>
    <w:rsid w:val="00F71167"/>
    <w:rsid w:val="00F732D1"/>
    <w:rsid w:val="00F800AB"/>
    <w:rsid w:val="00F8323B"/>
    <w:rsid w:val="00F92545"/>
    <w:rsid w:val="00F94DC4"/>
    <w:rsid w:val="00FA50F9"/>
    <w:rsid w:val="00FB1E99"/>
    <w:rsid w:val="00FB2294"/>
    <w:rsid w:val="00FB5695"/>
    <w:rsid w:val="00FC453E"/>
    <w:rsid w:val="00FD3719"/>
    <w:rsid w:val="00FD3C52"/>
    <w:rsid w:val="00FD56AC"/>
    <w:rsid w:val="00FE1A56"/>
    <w:rsid w:val="00FE2FD2"/>
    <w:rsid w:val="00FE5722"/>
    <w:rsid w:val="00FF235F"/>
    <w:rsid w:val="00FF5FD2"/>
    <w:rsid w:val="0EE56080"/>
    <w:rsid w:val="1F775FE5"/>
    <w:rsid w:val="24053D12"/>
    <w:rsid w:val="24AE65FB"/>
    <w:rsid w:val="28863801"/>
    <w:rsid w:val="29954009"/>
    <w:rsid w:val="3B6E9458"/>
    <w:rsid w:val="43621AC6"/>
    <w:rsid w:val="48202067"/>
    <w:rsid w:val="49342657"/>
    <w:rsid w:val="52582AB7"/>
    <w:rsid w:val="5A0F6745"/>
    <w:rsid w:val="60E42687"/>
    <w:rsid w:val="65FE7D00"/>
    <w:rsid w:val="6DBB5030"/>
    <w:rsid w:val="73E4EA67"/>
    <w:rsid w:val="77DA6911"/>
    <w:rsid w:val="77FA7242"/>
    <w:rsid w:val="7FDF7B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Balloon Text"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Pr>
      <w:rFonts w:ascii="宋体" w:hAnsi="宋体" w:cs="宋体"/>
      <w:sz w:val="28"/>
      <w:szCs w:val="28"/>
    </w:rPr>
  </w:style>
  <w:style w:type="paragraph" w:styleId="a4">
    <w:name w:val="Date"/>
    <w:basedOn w:val="a"/>
    <w:next w:val="a"/>
    <w:link w:val="Char0"/>
    <w:uiPriority w:val="99"/>
    <w:unhideWhenUsed/>
    <w:qFormat/>
    <w:pPr>
      <w:ind w:leftChars="2500" w:left="100"/>
    </w:pPr>
  </w:style>
  <w:style w:type="paragraph" w:styleId="a5">
    <w:name w:val="Balloon Text"/>
    <w:basedOn w:val="a"/>
    <w:link w:val="Char1"/>
    <w:semiHidden/>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000FF" w:themeColor="hyperlink"/>
      <w:u w:val="single"/>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0">
    <w:name w:val="日期 Char"/>
    <w:basedOn w:val="a0"/>
    <w:link w:val="a4"/>
    <w:uiPriority w:val="99"/>
    <w:qFormat/>
    <w:rPr>
      <w:rFonts w:ascii="Calibri" w:eastAsia="宋体" w:hAnsi="Calibri" w:cs="Times New Roman"/>
    </w:rPr>
  </w:style>
  <w:style w:type="character" w:customStyle="1" w:styleId="Char1">
    <w:name w:val="批注框文本 Char"/>
    <w:basedOn w:val="a0"/>
    <w:link w:val="a5"/>
    <w:semiHidden/>
    <w:qFormat/>
    <w:rPr>
      <w:rFonts w:ascii="Calibri" w:eastAsia="宋体" w:hAnsi="Calibri" w:cs="Times New Roman"/>
      <w:sz w:val="18"/>
      <w:szCs w:val="18"/>
    </w:rPr>
  </w:style>
  <w:style w:type="paragraph" w:customStyle="1" w:styleId="11">
    <w:name w:val="列出段落1"/>
    <w:basedOn w:val="a"/>
    <w:uiPriority w:val="34"/>
    <w:qFormat/>
    <w:pPr>
      <w:ind w:firstLineChars="200" w:firstLine="420"/>
    </w:pPr>
  </w:style>
  <w:style w:type="paragraph" w:customStyle="1" w:styleId="ListParagraph1">
    <w:name w:val="List Paragraph1"/>
    <w:basedOn w:val="a"/>
    <w:uiPriority w:val="99"/>
    <w:unhideWhenUsed/>
    <w:qFormat/>
    <w:pPr>
      <w:ind w:firstLineChars="200" w:firstLine="420"/>
    </w:pPr>
  </w:style>
  <w:style w:type="table" w:customStyle="1" w:styleId="12">
    <w:name w:val="网格型1"/>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99"/>
    <w:unhideWhenUsed/>
    <w:qFormat/>
    <w:pPr>
      <w:ind w:firstLineChars="200" w:firstLine="420"/>
    </w:pPr>
  </w:style>
  <w:style w:type="character" w:customStyle="1" w:styleId="Char">
    <w:name w:val="正文文本 Char"/>
    <w:basedOn w:val="a0"/>
    <w:link w:val="a3"/>
    <w:uiPriority w:val="1"/>
    <w:qFormat/>
    <w:rPr>
      <w:rFonts w:ascii="宋体" w:hAnsi="宋体" w:cs="宋体"/>
      <w:kern w:val="2"/>
      <w:sz w:val="28"/>
      <w:szCs w:val="28"/>
    </w:rPr>
  </w:style>
  <w:style w:type="paragraph" w:customStyle="1" w:styleId="TableParagraph">
    <w:name w:val="Table Paragraph"/>
    <w:basedOn w:val="a"/>
    <w:uiPriority w:val="1"/>
    <w:qFormat/>
    <w:rPr>
      <w:rFonts w:ascii="宋体" w:hAnsi="宋体" w:cs="宋体"/>
    </w:rPr>
  </w:style>
  <w:style w:type="paragraph" w:customStyle="1" w:styleId="21">
    <w:name w:val="列出段落21"/>
    <w:basedOn w:val="a"/>
    <w:uiPriority w:val="99"/>
    <w:unhideWhenUsed/>
    <w:qFormat/>
    <w:pPr>
      <w:ind w:firstLineChars="200" w:firstLine="420"/>
    </w:pPr>
  </w:style>
  <w:style w:type="table" w:customStyle="1" w:styleId="110">
    <w:name w:val="网格型11"/>
    <w:basedOn w:val="a1"/>
    <w:qFormat/>
    <w:pPr>
      <w:widowControl w:val="0"/>
      <w:jc w:val="both"/>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列出段落2"/>
    <w:basedOn w:val="a"/>
    <w:uiPriority w:val="99"/>
    <w:unhideWhenUsed/>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baike.baidu.com/view/1460713.ht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1173</Words>
  <Characters>6691</Characters>
  <Application>Microsoft Office Word</Application>
  <DocSecurity>0</DocSecurity>
  <Lines>55</Lines>
  <Paragraphs>15</Paragraphs>
  <ScaleCrop>false</ScaleCrop>
  <Company>Microsoft</Company>
  <LinksUpToDate>false</LinksUpToDate>
  <CharactersWithSpaces>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范轶娴</dc:creator>
  <cp:lastModifiedBy>qiuhw</cp:lastModifiedBy>
  <cp:revision>21</cp:revision>
  <cp:lastPrinted>2021-10-26T19:30:00Z</cp:lastPrinted>
  <dcterms:created xsi:type="dcterms:W3CDTF">2021-10-15T19:08:00Z</dcterms:created>
  <dcterms:modified xsi:type="dcterms:W3CDTF">2021-11-12T00:41:00Z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woTemplateTypoMode" linkTarget="0">
    <vt:lpwstr>web</vt:lpwstr>
  </property>
  <property fmtid="{D5CDD505-2E9C-101B-9397-08002B2CF9AE}" pid="4" name="woTemplate" linkTarget="0">
    <vt:i4>1</vt:i4>
  </property>
  <property fmtid="{D5CDD505-2E9C-101B-9397-08002B2CF9AE}" pid="5" name="ICV">
    <vt:lpwstr>5BF0BFECA4584C4B816427EB05A619A6</vt:lpwstr>
  </property>
</Properties>
</file>